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KÁLMÁN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Bende-Szabó</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new European financial supervisory architecture</w:t>
      </w:r>
    </w:p>
    <w:p w:rsidR="00D71DF5" w:rsidRDefault="00D71DF5" w:rsidP="00AD2602">
      <w:pPr>
        <w:jc w:val="both"/>
      </w:pPr>
    </w:p>
    <w:p>
      <w:pPr>
        <w:pBdr/>
        <w:spacing w:before="240" w:after="240" w:line="240" w:lineRule="auto"/>
        <w:ind w:left="0" w:right="0"/>
        <w:jc w:val="left"/>
      </w:pPr>
      <w:r>
        <w:rPr>
          <w:color w:val="000000"/>
          <w:sz w:val="24"/>
          <w:szCs w:val="24"/>
        </w:rPr>
        <w:t xml:space="preserve">In 2007 the economic crisis began, which put the regulation és supervision system of the EU on the test. The EU responded to the unbalanced phenomena like never before, by preparing, adopting and putting into force a wide range of legal acts. However, the integrated markets of the EU need not only an ex post regulation, but a direct supervision by the union.</w:t>
      </w:r>
    </w:p>
    <w:p>
      <w:pPr>
        <w:pBdr/>
        <w:spacing w:before="240" w:after="240" w:line="240" w:lineRule="auto"/>
        <w:ind w:left="0" w:right="0"/>
        <w:jc w:val="left"/>
      </w:pPr>
      <w:r>
        <w:rPr>
          <w:color w:val="000000"/>
          <w:sz w:val="24"/>
          <w:szCs w:val="24"/>
        </w:rPr>
        <w:t xml:space="preserve">In this context the long-term strategy of European integration – the Europe 2030 Project – also adopted the policy, which „If the EU is to avoid a repeat of the crisis, it must urgently undertake reforms to the functioning and supervision of our financial institutions. Today, these financial institutions have changed few of the practices which led to the crisis, except to significantly reduce their lending. It would be desirable for these reforms to be coordinated among the G20, but until this happens, the EU must develop its own regulatory norms and mechanisms for control and supervision.”</w:t>
      </w:r>
    </w:p>
    <w:p>
      <w:pPr>
        <w:pBdr/>
        <w:spacing w:before="240" w:after="240" w:line="240" w:lineRule="auto"/>
        <w:ind w:left="0" w:right="0"/>
        <w:jc w:val="left"/>
      </w:pPr>
      <w:r>
        <w:rPr>
          <w:color w:val="000000"/>
          <w:sz w:val="24"/>
          <w:szCs w:val="24"/>
        </w:rPr>
        <w:t xml:space="preserve">This reform process begun in the beginning of 2009 and in 2011 January 1st a completely new EU supervisory structure, the European System of Financial Supervisors was formed, based on the Lamfalussy process and its experience.</w:t>
      </w:r>
    </w:p>
    <w:p>
      <w:pPr>
        <w:pBdr/>
        <w:spacing w:before="240" w:after="240" w:line="240" w:lineRule="auto"/>
        <w:ind w:left="0" w:right="0"/>
        <w:jc w:val="left"/>
      </w:pPr>
      <w:r>
        <w:rPr>
          <w:color w:val="000000"/>
          <w:sz w:val="24"/>
          <w:szCs w:val="24"/>
        </w:rPr>
        <w:t xml:space="preserve">In this European System of Financial Supervisors there are two pillars, a macro (European Systemic Risk Board) and a microprudential pillar (European Supervisory Authorities) working in order to maintain financial stability for the whole European Union, find solutions to forecast crises and manage them. It is an ambitious, though necessary task, for which the authorities have to be armed with adequate devices. Accordingly, supervisory authorities became armed with new device of power of a different quality. Through these competences the EU opened up the door – rewriting the principle of home-country control – to the direct supervision at union level.</w:t>
      </w:r>
    </w:p>
    <w:p>
      <w:pPr>
        <w:pBdr/>
        <w:spacing w:before="240" w:after="240" w:line="240" w:lineRule="auto"/>
        <w:ind w:left="0" w:right="0"/>
        <w:jc w:val="left"/>
      </w:pPr>
      <w:r>
        <w:rPr>
          <w:color w:val="000000"/>
          <w:sz w:val="24"/>
          <w:szCs w:val="24"/>
        </w:rPr>
        <w:t xml:space="preserve">These aktivism is necessary, but it is not in accordance with the criterion of delegation of powers, whitch was set up by the European Court of Justice. The European Union should solve these legal problems to achive further integration in financial supervision. The study suggest three alternative solutions to mute the legal concernments.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37724">
    <w:multiLevelType w:val="hybridMultilevel"/>
    <w:lvl w:ilvl="0" w:tplc="38831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37724">
    <w:abstractNumId w:val="21537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222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