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ELVIRA MORDAVSZKY</w:t>
            </w:r>
          </w:p>
          <w:p w:rsidR="00C275A3" w:rsidRDefault="00A96AEC" w:rsidP="00C275A3">
            <w:pPr>
              <w:pStyle w:val="Hallgatokepzes"/>
            </w:pPr>
            <w:r>
              <w:t>BA in Public Governance </w:t>
            </w:r>
            <w:r>
              <w:br/>
            </w:r>
            <w:r w:rsidR="00E77B23">
              <w:t>BA, 1.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Endre Bilecz</w:t>
            </w:r>
          </w:p>
          <w:p w:rsidR="00DB4822" w:rsidRDefault="00DB4822" w:rsidP="00E11062">
            <w:pPr>
              <w:pStyle w:val="Konzulensek"/>
            </w:pPr>
            <w:r w:rsidRPr="00DB4822">
              <w:t>college associate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ukrainian minority organisations in their operation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introduces today's minorities, and in particular how the Ukrainian minority organizations operate their material conditions which the Hungarian Government ensure the existence of these organizations. In addition, we analyze the system of the minority interests, legal safeguards which ensure the realization of these interests. In my thesis I present a detailed law on minorities and its changes. Then the general description of the evolution of the number of minorities from 1994 to the present day. Processors in the system of minority self-financing of the state budget and legislative proposals means by which the state contributes substantially to the functioning of the financial conditions for the local government. Further explains how this financial assistance to local governments helps to exert activity.</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Основи працювання саамоврядувань українців в Угорщині</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Ця робота знайомить з націонаональними меншинами в Угорщині на цей час. Надає інформацію про роботу самоврядувань українців, існування та діяльність яких гарантує і забезпечує Угорська держава. Далі ставиться питання чи достатньо юридичних гарантій для реалізації можливості існування самоврядувань після зміни державної системи. У подробицях розглядаємо процес підготовки закону про національні меншини, його прийняття і наступні зміни положень. Після загального освідчення цього процесу висвітлюємо становище самоврядувань за статистичними показниками після 1944 року до нашого часу. Наступна частина показує систему фінансування меншин, бюджетні нормативи, проектні можливості, за допомогою яких держава забезпечує роботу самоврядувань меншин, а також які заходи влаштовують самоврядування на ці кошти.</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05267">
    <w:multiLevelType w:val="hybridMultilevel"/>
    <w:lvl w:ilvl="0" w:tplc="68150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05267">
    <w:abstractNumId w:val="82205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775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