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TIEGER</w:t>
            </w:r>
          </w:p>
          <w:p w:rsidR="00C275A3" w:rsidRDefault="00A96AEC" w:rsidP="00C275A3">
            <w:pPr>
              <w:pStyle w:val="Hallgatokepzes"/>
            </w:pPr>
            <w:r>
              <w:t>Chemical Engineer </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Szilveszter Gergely Ph.D</w:t>
            </w:r>
          </w:p>
          <w:p w:rsidR="00DB4822" w:rsidRDefault="00DB4822" w:rsidP="00E11062">
            <w:pPr>
              <w:pStyle w:val="Konzulensek"/>
            </w:pPr>
            <w:r w:rsidRPr="00DB4822">
              <w:t>assistant professor, BME VBK</w:t>
            </w:r>
          </w:p>
        </w:tc>
      </w:tr>
      <w:tr w:rsidR="00DB4822" w:rsidTr="00DB4822">
        <w:tc>
          <w:tcPr>
            <w:tcW w:w="9854" w:type="dxa"/>
          </w:tcPr>
          <w:p w:rsidR="00DB4822" w:rsidRPr="00DB4822" w:rsidRDefault="00DB4822" w:rsidP="004D7940">
            <w:pPr>
              <w:pStyle w:val="Konzulensek"/>
            </w:pPr>
            <w:r w:rsidRPr="00DB4822">
              <w:t>Violetta Kiss Ph.D</w:t>
            </w:r>
          </w:p>
          <w:p w:rsidR="00DB4822" w:rsidRDefault="00DB4822" w:rsidP="00E11062">
            <w:pPr>
              <w:pStyle w:val="Konzulensek"/>
            </w:pPr>
            <w:r w:rsidRPr="00DB4822">
              <w:t>development chemist ,  Zentiva a.s.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Off-line and in-line analysis of a drug candidate molecule’s polymorphism by Raman and IR spectroscopy</w:t>
      </w:r>
    </w:p>
    <w:p w:rsidR="00D71DF5" w:rsidRDefault="00D71DF5" w:rsidP="00AD2602">
      <w:pPr>
        <w:jc w:val="both"/>
      </w:pPr>
    </w:p>
    <w:p>
      <w:pPr>
        <w:pBdr/>
        <w:spacing w:before="240" w:after="240" w:line="240" w:lineRule="auto"/>
        <w:ind w:left="0" w:right="0"/>
        <w:jc w:val="left"/>
      </w:pPr>
      <w:r>
        <w:rPr>
          <w:color w:val="000000"/>
          <w:sz w:val="24"/>
          <w:szCs w:val="24"/>
        </w:rPr>
        <w:t xml:space="preserve">Nowadays, research on polymorphism and material properties of active drug compounds and excipients is an integral part of drug development. Polymorphic forms of a drug substance can have different chemical and physical properties, including melting point, chemical reactivity, apparent solubility, dissolution rate, optical and mechanical properties, vapour pressure and density. These properties can have a direct effect on the ability to process and/or manufacture the drug substance and the drug product, as well as on drug product stability, dissolution and bioavailability. Thus, polymorphism can affect the quality, safety and efficacy of the drug product.</w:t>
      </w:r>
    </w:p>
    <w:p>
      <w:pPr>
        <w:pBdr/>
        <w:spacing w:before="240" w:after="240" w:line="240" w:lineRule="auto"/>
        <w:ind w:left="0" w:right="0"/>
        <w:jc w:val="left"/>
      </w:pPr>
      <w:r>
        <w:rPr>
          <w:color w:val="000000"/>
          <w:sz w:val="24"/>
          <w:szCs w:val="24"/>
        </w:rPr>
        <w:t xml:space="preserve">The aim of my investigations by Raman and infrared (IR) microscope was analysing the drug candidate molecule’s polymorphs, searching for spectroscopic differences between the crystal types, applying qualitative assay by multivariate data analysis: principal component analysis and cluster analysis.</w:t>
      </w:r>
    </w:p>
    <w:p>
      <w:pPr>
        <w:pBdr/>
        <w:spacing w:before="240" w:after="240" w:line="240" w:lineRule="auto"/>
        <w:ind w:left="0" w:right="0"/>
        <w:jc w:val="left"/>
      </w:pPr>
      <w:r>
        <w:rPr>
          <w:color w:val="000000"/>
          <w:sz w:val="24"/>
          <w:szCs w:val="24"/>
        </w:rPr>
        <w:t xml:space="preserve">Process analysis has advanced significantly during the past several decades, due to an increasing appreciation for the value of collecting process data. It has particular significance in innovative pharmaceutical development, manufacturing and quality assurance. In my experiments Raman probe was applied to determine the distinct polymorphs in suspension and during the crystallization process, monitoring the dynamically changing reaction medium in high temperature stirred systems by means of multivariate data analysis. Using fiber-optic Raman spectroscopy the crystallization process was successfully monitored and the events and changes could be observed due to the usage of chemometric methods.</w:t>
      </w:r>
    </w:p>
    <w:p>
      <w:pPr>
        <w:pBdr/>
        <w:spacing w:before="240" w:after="240" w:line="240" w:lineRule="auto"/>
        <w:ind w:left="0" w:right="0"/>
        <w:jc w:val="left"/>
      </w:pPr>
      <w:r>
        <w:rPr>
          <w:color w:val="000000"/>
          <w:sz w:val="24"/>
          <w:szCs w:val="24"/>
        </w:rPr>
        <w:t xml:space="preserve">Raman and mid-IR spectroscopy are complementary techniques for measuring the vibrational modes of a molecule and both are required to gain complete information about the investigated compound. Multivariate data analysis methods support us describing and explaining the obtained data matrix.</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45233">
    <w:multiLevelType w:val="hybridMultilevel"/>
    <w:lvl w:ilvl="0" w:tplc="70111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45233">
    <w:abstractNumId w:val="623452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4824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