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FARKAS</w:t>
            </w:r>
          </w:p>
          <w:p w:rsidR="00C275A3" w:rsidRDefault="00A96AEC" w:rsidP="00C275A3">
            <w:pPr>
              <w:pStyle w:val="Hallgatokepzes"/>
            </w:pPr>
            <w:r>
              <w:t>Engineer in Pharmaceutical Industry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 DSc</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Raman mapping of pharmaceutical products of unknown content using chemometric analysis of datasets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Pharmaceuticals in many cases have to be characterized despite their unknown composition. Counterfeit and illegal products are increasingly present on the drug markets, which, in many aspects, pose economic, medical and analytical challenges. On the one hand these drugs cause economic damage to the original manufacturer of the drug, on the other hand, lack of effect or negative effects could result in medical issues. Therefore, it is necessary to continue an intensified fight against these drugs. Furthermore, unexpected components and impurities may also occur in legal and marketed pharmaceutical products during the drug development and manufacturing.</w:t>
      </w:r>
    </w:p>
    <w:p>
      <w:pPr>
        <w:pBdr/>
        <w:spacing w:before="240" w:after="240" w:line="240" w:lineRule="auto"/>
        <w:ind w:left="0" w:right="0"/>
        <w:jc w:val="left"/>
      </w:pPr>
      <w:r>
        <w:rPr>
          <w:color w:val="000000"/>
          <w:sz w:val="24"/>
          <w:szCs w:val="24"/>
        </w:rPr>
        <w:t xml:space="preserve">The purpose of the experiments was to determine how to characterize solid pharmaceutical preparations that contain unknown components, using Raman spectrometry-based mapping combined with statistical and mathematical tools. Its advantage is that non-destructive analysis can be performed on the samples. The vast amount of data generated during Raman mapping was evaluated by different chemometric methods to achieve the goal.</w:t>
      </w:r>
    </w:p>
    <w:p>
      <w:pPr>
        <w:pBdr/>
        <w:spacing w:before="240" w:after="240" w:line="240" w:lineRule="auto"/>
        <w:ind w:left="0" w:right="0"/>
        <w:jc w:val="left"/>
      </w:pPr>
      <w:r>
        <w:rPr>
          <w:color w:val="000000"/>
          <w:sz w:val="24"/>
          <w:szCs w:val="24"/>
        </w:rPr>
        <w:t xml:space="preserve">At first a completely unknown hypothetical model tablet („T”) was analyzed. Such preparations of unknown composition can be any tablets on the "black market". Using multivariate data analysis methods the Raman spectra of the pure components and their spatial distribution could also be investigated. Then the methods were also tested on model tablets prepared with different manufacturing techniques. Certain technological steps result in very homogeneous component distribution within the product; therefore, it was also studied under these circumstances, which method(s) can be used best to detect the tablet components and technological properties regardless of the technology (i.e. homogeneity).</w:t>
      </w:r>
    </w:p>
    <w:p>
      <w:pPr>
        <w:pBdr/>
        <w:spacing w:before="240" w:after="240" w:line="240" w:lineRule="auto"/>
        <w:ind w:left="0" w:right="0"/>
        <w:jc w:val="left"/>
      </w:pPr>
      <w:r>
        <w:rPr>
          <w:color w:val="000000"/>
          <w:sz w:val="24"/>
          <w:szCs w:val="24"/>
        </w:rPr>
        <w:t xml:space="preserve">In some cases the analytes may contain polymorphic contaminants of the active substance or excipients with very similar chemical structure. In these cases the pure spectra are strongly correlated with one another. Such cases were investigated by analyzing mixtures of API polymorphs and glucose polymers. Besides the spectra, the concentration of two components may also be strongly correlated. Such samples were prepared with electrospinning and hot-melt extrusion and were analyzed with Raman mapping to determine the formulation characteristics of stable colloidal dispersions.</w:t>
      </w:r>
    </w:p>
    <w:p>
      <w:pPr>
        <w:pBdr/>
        <w:spacing w:before="240" w:after="240" w:line="240" w:lineRule="auto"/>
        <w:ind w:left="0" w:right="0"/>
        <w:jc w:val="left"/>
      </w:pPr>
      <w:r>
        <w:rPr>
          <w:color w:val="000000"/>
          <w:sz w:val="24"/>
          <w:szCs w:val="24"/>
        </w:rPr>
        <w:t xml:space="preserve">All above mentioned practical issues were solved by selecting and using the appropriate mathematical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19019">
    <w:multiLevelType w:val="hybridMultilevel"/>
    <w:lvl w:ilvl="0" w:tplc="39326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19019">
    <w:abstractNumId w:val="29319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66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