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BELA MOKANSZKI</w:t>
            </w:r>
          </w:p>
          <w:p w:rsidR="00C275A3" w:rsidRDefault="00A96AEC" w:rsidP="00C275A3">
            <w:pPr>
              <w:pStyle w:val="Hallgatokepzes"/>
            </w:pPr>
            <w:r>
              <w:t>medical laboratorial diagnostic imaging analysis</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Bela Lombay</w:t>
            </w:r>
          </w:p>
          <w:p w:rsidR="00DB4822" w:rsidRDefault="00DB4822" w:rsidP="00E11062">
            <w:pPr>
              <w:pStyle w:val="Konzulensek"/>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conventional x-ray in childhood sinusitis diagnostics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the conventional x-ray in childhood sinusitis diagnostics</w:t>
      </w:r>
    </w:p>
    <w:p>
      <w:pPr>
        <w:widowControl w:val="on"/>
        <w:pBdr/>
        <w:spacing w:before="240" w:after="240" w:line="240" w:lineRule="auto"/>
        <w:ind w:left="0" w:right="0"/>
        <w:jc w:val="left"/>
      </w:pPr>
      <w:r>
        <w:rPr>
          <w:color w:val="000000"/>
          <w:sz w:val="24"/>
          <w:szCs w:val="24"/>
        </w:rPr>
        <w:t xml:space="preserve">INTRODUCTION – The value of conventional radiography in children with sinusitis is questionable. Yet, many requests for paranasal sinus radiographs are put through daily. The aim of this study was to divide such requests by the number and age of patients, the referring clinicians and by the positive or negative results of examinations.</w:t>
      </w:r>
    </w:p>
    <w:p>
      <w:pPr>
        <w:widowControl w:val="on"/>
        <w:pBdr/>
        <w:spacing w:before="240" w:after="240" w:line="240" w:lineRule="auto"/>
        <w:ind w:left="0" w:right="0"/>
        <w:jc w:val="left"/>
      </w:pPr>
      <w:r>
        <w:rPr>
          <w:color w:val="000000"/>
          <w:sz w:val="24"/>
          <w:szCs w:val="24"/>
        </w:rPr>
        <w:t xml:space="preserve">PATIENT AND METHODS – Between 2006-2010 a total 110000 X-Ray examinations were performed in the department of Pediatric Radiology, Borsod County Teaching Hospital, in Miskolc, Hungary. From these examinations 8367 (7,6%) were paranasal X-Ray studies. Data from the year 2010 year was assessed in detail. In that year 736 patients had 1988 paranasal X-Ray studies, out of a total 22394 X-Ray examinations.</w:t>
      </w:r>
      <w:r>
        <w:rPr>
          <w:color w:val="000000"/>
          <w:sz w:val="24"/>
          <w:szCs w:val="24"/>
        </w:rPr>
        <w:br/>
        <w:t xml:space="preserve">Four groups of referring physicians were also identified: otolaryngologists, GPs, different departments of our Child Health Centre and different outpatient departments of the county. 529 (71,6%) patients had two or more paranasal radiographs. Technical background: normal AP or PA projection for paranasal sinuses, mainly in supine position.</w:t>
      </w:r>
    </w:p>
    <w:p>
      <w:pPr>
        <w:widowControl w:val="on"/>
        <w:pBdr/>
        <w:spacing w:before="240" w:after="240" w:line="240" w:lineRule="auto"/>
        <w:ind w:left="0" w:right="0"/>
        <w:jc w:val="left"/>
      </w:pPr>
      <w:r>
        <w:rPr>
          <w:color w:val="000000"/>
          <w:sz w:val="24"/>
          <w:szCs w:val="24"/>
        </w:rPr>
        <w:t xml:space="preserve">RESULTS – 247 patients (33,4%) of 736 were sent by otolaryngologists, 187 (25,3%) patients by family doctors, 158 (21,2%) by various doctors in the Centre, whereas 144 (20%) patients were referred by outpatient doctors of the county. There were 42 (5,7%) patients below the age of 3, 162 (22%) patients between 4-5 years, 207(28%) patients were between 6-8 years, 221 (30%) patients 9-12 years, 104 (14,3%) patients were between 13-14 years. 58% of the studies demonstrated positive findings.</w:t>
      </w:r>
    </w:p>
    <w:p>
      <w:pPr>
        <w:widowControl w:val="on"/>
        <w:pBdr/>
        <w:spacing w:before="240" w:after="240" w:line="240" w:lineRule="auto"/>
        <w:ind w:left="0" w:right="0"/>
        <w:jc w:val="left"/>
      </w:pPr>
      <w:r>
        <w:rPr>
          <w:color w:val="000000"/>
          <w:sz w:val="24"/>
          <w:szCs w:val="24"/>
        </w:rPr>
        <w:t xml:space="preserve">CONCLUSION – In most cases the clinical signs are characteristic for sinusitis in children. Yet many paranasal studies are requested to establish "exact diagnosis". We would recommend paranasal radiograph-CT examinations in cases where 1. we search for purulent foci in patients with non-characteristic clinical presentation, 2. unknown facial pain of that with possible sinus origin, 3. trauma.</w:t>
      </w:r>
      <w:r>
        <w:rPr>
          <w:color w:val="000000"/>
          <w:sz w:val="24"/>
          <w:szCs w:val="24"/>
        </w:rPr>
        <w:br/>
        <w:t xml:space="preserve">The College of Otolaryngologists also does not recommend paranasal radiographs owing to its low yield and additional radiation exposure.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48037">
    <w:multiLevelType w:val="hybridMultilevel"/>
    <w:lvl w:ilvl="0" w:tplc="20955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48037">
    <w:abstractNumId w:val="92648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909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