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VARGA</w:t>
            </w:r>
          </w:p>
          <w:p w:rsidR="00C275A3" w:rsidRDefault="00A96AEC" w:rsidP="00C275A3">
            <w:pPr>
              <w:pStyle w:val="Hallgatokepzes"/>
            </w:pPr>
            <w:r>
              <w:t>Chemical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Szekely PhD.</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Chiral resolution of cis-permetric acid via diastereomeric salt formation in supercritical carbon dioxide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Chiral resolution is a key issue in the contemporary pharmaceutical industry. Supercritical fluid extraction resolution (SFE-R) is an environmentally friendly and high performance process to separate enantiomers of racemic compounds, by using supercritical carbon dioxide (sc.CO2) as a solvent. In general, the resolving agent – according to the modified Pope-Peachy method – is added in half mole equivalent quantity to the racemic compound and then dissolved in an appropriate solvent. The resolving agent reacts preferentially with one enantiomer while the solvent is being evaporated in vacuum. After the evaporation of the solvent, the remaining solid sample is loaded into a reactor, where the unreacted enantiomers are removed by a sc.CO2 current, while the insoluble solid diastereomer salt remains in the reactor.</w:t>
      </w:r>
    </w:p>
    <w:p>
      <w:pPr>
        <w:pBdr/>
        <w:spacing w:before="240" w:after="240" w:line="240" w:lineRule="auto"/>
        <w:ind w:left="0" w:right="0"/>
        <w:jc w:val="left"/>
      </w:pPr>
      <w:r>
        <w:rPr>
          <w:color w:val="000000"/>
          <w:sz w:val="24"/>
          <w:szCs w:val="24"/>
        </w:rPr>
        <w:t xml:space="preserve">Previous experiments showed that cis-permetric acid (CPS) can be resolved with 2-benzylamino-1-butanol (BAB) by traditional crystallization from organic solvent. With the SFE-R method, CPS can be resolved by using (R)-phenylethylamine (FEA) but here, this resolution cannot be carried out using BAB.</w:t>
      </w:r>
    </w:p>
    <w:p>
      <w:pPr>
        <w:pBdr/>
        <w:spacing w:before="240" w:after="240" w:line="240" w:lineRule="auto"/>
        <w:ind w:left="0" w:right="0"/>
        <w:jc w:val="left"/>
      </w:pPr>
      <w:r>
        <w:rPr>
          <w:color w:val="000000"/>
          <w:sz w:val="24"/>
          <w:szCs w:val="24"/>
        </w:rPr>
        <w:t xml:space="preserve">During the experiments, the CPS-BAB and the CPS-FEA systems were studied at a constant pressure and temperature (200 bar, 45°C) in a stirred reactor. The aim of the work was to compare the behavior of the two systems when forming the diastereomer salt in organic solvent (in vacuo technique) as described above, and when forming the diastereomer salt in sc.CO2 (in situ) by measuring the raw materials in the reactor without any pretreatment and allowing the salt to be formed in CO2.</w:t>
      </w:r>
    </w:p>
    <w:p>
      <w:pPr>
        <w:pBdr/>
        <w:spacing w:before="240" w:after="240" w:line="240" w:lineRule="auto"/>
        <w:ind w:left="0" w:right="0"/>
        <w:jc w:val="left"/>
      </w:pPr>
      <w:r>
        <w:rPr>
          <w:color w:val="000000"/>
          <w:sz w:val="24"/>
          <w:szCs w:val="24"/>
        </w:rPr>
        <w:t xml:space="preserve">In the studied reaction period (1-170 hours) FEA proved to be a good resolving agent with the in vacuo method: the enantiomeric excess is 83% after 44 hours of reaction time, while samples prepared in sc.CO2 (in situ) showed no remarkable ee (&lt;8%). However, the yield was significant, thus the formation of the diastereomeric salt can be assumed to be non-selective. When the resolution was successful, ee values in the CO2 phase remained constant during the entire range of reaction times, taking values around 25%. Using BAB as the resolving agent, in vacuo experiments yielded a raffinate with 90% ee after 20 hours. BAB forms a diastereomeric salt preferentially with (-)-CPS enantiomer. This reaction also proceeds in sc.CO2, however, the ee values in both the raffinate and the CO2 phase reach their equilibrium value later than in the in vacuo technique.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22267">
    <w:multiLevelType w:val="hybridMultilevel"/>
    <w:lvl w:ilvl="0" w:tplc="55581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22267">
    <w:abstractNumId w:val="32122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2797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