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FAZEKAS</w:t>
            </w:r>
          </w:p>
          <w:p w:rsidR="00C275A3" w:rsidRDefault="00A96AEC" w:rsidP="00C275A3">
            <w:pPr>
              <w:pStyle w:val="Hallgatokepzes"/>
            </w:pPr>
            <w:r>
              <w:t>Chemical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Keglevich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Synthesis, Utilization and NMR Properties of the Bis(&gt;P(O)CH2)amine Derivatives Obtained by the Double Kabachnik–Fields Reaction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general purpose for today’s chemical researches is to make them more „eco-friendly”. During our work, we studied the practicability of a three-component condensation, the Kabachnik-Fields reaction, also known as bis(phospha-Mannich) reaction in environmentally friendly conditions. We sought to complete the mentioned synthesis by applying the more and more popular microwave (MW) technique under solvent- and catalyst-free conditions.</w:t>
      </w:r>
      <w:r>
        <w:rPr>
          <w:color w:val="000000"/>
          <w:sz w:val="24"/>
          <w:szCs w:val="24"/>
        </w:rPr>
        <w:br/>
        <w:t xml:space="preserve">In our experiments different primer amines were used as model compounds.The reactions took place in the presence of two equivalents of formaldehyde and two equivalents of dialkyl-phosphites or diphenylphosphine-oxides.We put due emphasis on the NMR validation of the products, because we were producing new compounds. While examining the ethoxy and benzyloxy derivatives, we noticed some surprising NMR properties.</w:t>
      </w: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513600" cy="957600"/>
            <wp:docPr id="25378198" name="name150c01df593958" descr="imgtmp_11530_in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30_int_1.png"/>
                    <pic:cNvPicPr/>
                  </pic:nvPicPr>
                  <pic:blipFill>
                    <a:blip r:embed="rId150c01df5939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3600" cy="95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Additionally, we studied the usability of the forming products as P lingands. Therefore we formed borane and platinum-complexes from bis(diphenyl phosphinoxidomethy) derivatives after a double deoxygenation.The latter showed high catalytic activities in hydroformilation reactions.</w:t>
      </w: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938400" cy="1252800"/>
            <wp:docPr id="29107190" name="name150c01df594303" descr="imgtmp_11530_in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30_int_2.png"/>
                    <pic:cNvPicPr/>
                  </pic:nvPicPr>
                  <pic:blipFill>
                    <a:blip r:embed="rId150c01df5942c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8400" cy="125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43782">
    <w:multiLevelType w:val="hybridMultilevel"/>
    <w:lvl w:ilvl="0" w:tplc="81807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43782">
    <w:abstractNumId w:val="83743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864667" Type="http://schemas.openxmlformats.org/officeDocument/2006/relationships/numbering" Target="numbering.xml"/><Relationship Id="rId150c01df59391a" Type="http://schemas.openxmlformats.org/officeDocument/2006/relationships/image" Target="media/imgrId150c01df59391a.png"/><Relationship Id="rId150c01df5942c6" Type="http://schemas.openxmlformats.org/officeDocument/2006/relationships/image" Target="media/imgrId150c01df5942c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