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KELEMEN</w:t>
            </w:r>
          </w:p>
          <w:p w:rsidR="00C275A3" w:rsidRDefault="00A96AEC" w:rsidP="00C275A3">
            <w:pPr>
              <w:pStyle w:val="Hallgatokepzes"/>
            </w:pPr>
            <w:r>
              <w:t>MSc Chemical Engineering </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Oldamur Hollóczki</w:t>
            </w:r>
          </w:p>
          <w:p w:rsidR="00DB4822" w:rsidRDefault="00DB4822" w:rsidP="00E11062">
            <w:pPr>
              <w:pStyle w:val="Konzulensek"/>
            </w:pPr>
            <w:r w:rsidRPr="00DB4822">
              <w:t>postdoctor,  Mulliken Center for Theoretical Chemistry
Institut für Physikalische und Theoretische Chemie
Universität Bonn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An organocatalytic ionic liquid - carbon-dioxid reduction?</w:t>
      </w:r>
    </w:p>
    <w:p w:rsidR="00D71DF5" w:rsidRDefault="00D71DF5" w:rsidP="00AD2602">
      <w:pPr>
        <w:jc w:val="both"/>
      </w:pPr>
    </w:p>
    <w:p>
      <w:pPr>
        <w:pBdr/>
        <w:spacing w:before="240" w:after="240" w:line="240" w:lineRule="auto"/>
        <w:ind w:left="0" w:right="0"/>
        <w:jc w:val="left"/>
      </w:pPr>
      <w:r>
        <w:rPr>
          <w:color w:val="000000"/>
          <w:sz w:val="24"/>
          <w:szCs w:val="24"/>
        </w:rPr>
        <w:t xml:space="preserve">Recently, we have shown that with basic anions (such as acetate) imidazolium salts can be deprotonated in the gaseous phase, thus, a carbene and the corresponding acid can formed. The aim of the present work is to see if the carbene concentration within 1-ethyl-3-methylimidazolium acetate (EMIM-Ac) ionic liquid is high enough to act as a catalyst e.g. in the benzoin condensation, potentially uniting the ﬁeld of organocatalysis and ionic liquids.</w:t>
      </w:r>
    </w:p>
    <w:p>
      <w:pPr>
        <w:pBdr/>
        <w:spacing w:before="240" w:after="240" w:line="240" w:lineRule="auto"/>
        <w:ind w:left="900" w:right="0"/>
        <w:jc w:val="left"/>
      </w:pPr>
      <w:r>
        <w:rPr>
          <w:color w:val="000000"/>
          <w:sz w:val="24"/>
          <w:szCs w:val="24"/>
        </w:rPr>
        <w:drawing>
          <wp:inline distT="0" distB="0" distL="0" distR="0">
            <wp:extent cx="3326400" cy="1569600"/>
            <wp:docPr id="19837410" name="name150bcb3f1a42ec" descr="1153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537_1.jpg"/>
                    <pic:cNvPicPr/>
                  </pic:nvPicPr>
                  <pic:blipFill>
                    <a:blip r:embed="rId150bcb3f1a42ae" cstate="print"/>
                    <a:stretch>
                      <a:fillRect/>
                    </a:stretch>
                  </pic:blipFill>
                  <pic:spPr>
                    <a:xfrm>
                      <a:off x="0" y="0"/>
                      <a:ext cx="3326400" cy="15696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Thus, benzaldehyde was stirred in EMIM-Ac under argon at 60 C for six hours, and benzoin could be isolated in good yields (67%) after workup. However, under air or carbon dioxide atmosphere other reactions have also been observed (Scheme),yielding the same oxidized products in both cases. The formation of the products benzoic acid, benzil, and 2-oxo-1,2-diphenylethyl benzoate can be rationalized according to the mechanism depicted in scheme. This mechanism also involves a hydroacylation step, which could be reproduced by the reaction of benzil and benzaldehyde catalyzed also by EMIM-Ac in the process carbon dioxide has been suggested as oxidant, beyond the synthetic applicability of these reactions, their importance in environmental chemistry should also be emphasized.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88562">
    <w:multiLevelType w:val="hybridMultilevel"/>
    <w:lvl w:ilvl="0" w:tplc="21782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88562">
    <w:abstractNumId w:val="636885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6904591" Type="http://schemas.openxmlformats.org/officeDocument/2006/relationships/numbering" Target="numbering.xml"/><Relationship Id="rId150bcb3f1a42ae" Type="http://schemas.openxmlformats.org/officeDocument/2006/relationships/image" Target="media/imgrId150bcb3f1a42ae.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