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SZILVIÓ DÁVID SZILVÁSI</w:t>
            </w:r>
          </w:p>
          <w:p w:rsidR="00C275A3" w:rsidRDefault="00A96AEC" w:rsidP="00C275A3">
            <w:pPr>
              <w:pStyle w:val="Hallgatokepzes"/>
            </w:pPr>
            <w:r>
              <w:t>chemist</w:t>
            </w:r>
            <w:r>
              <w:br/>
            </w:r>
            <w:r w:rsidR="00E77B23">
              <w:t>Unified, 13.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Kaizer</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József Sándor Pap</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Influence of meridional ligands on supramolecular assembling and redox behavior of carboxylatocopper(II) complexes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Mixed-ligand copper complexes with carboxylate ligands are of perpetual interest in structural, medicinal, catalytic and bioinorganic chemistry. Such complexes have been also synthesized and structurally characterized with rigid 1,3-bis(2-pyridylimino)isoindolin which contains three nitrogen donor atoms. Interestingly, the carboxylate in the latter compounds is coordinated as monodentate ligand without exception, although in the case of other chelating agents there are examples for the bidentate coordination mode in the open spaces left by the isoindoline.</w:t>
      </w:r>
      <w:r>
        <w:rPr>
          <w:color w:val="000000"/>
          <w:sz w:val="24"/>
          <w:szCs w:val="24"/>
        </w:rPr>
        <w:br/>
        <w:t xml:space="preserve">By systematically changing the carboxylate and the isoindoline ligands our point was to change the coordination mode of the former. Mononuclear copper(II) phenylglyoxylate and 4-R-benzoate (R = NO</w:t>
      </w:r>
      <w:r>
        <w:rPr>
          <w:color w:val="000000"/>
          <w:position w:val="-4"/>
          <w:sz w:val="21"/>
          <w:szCs w:val="21"/>
          <w:vertAlign w:val="subscript"/>
        </w:rPr>
        <w:t xml:space="preserve">2</w:t>
      </w:r>
      <w:r>
        <w:rPr>
          <w:color w:val="000000"/>
          <w:sz w:val="24"/>
          <w:szCs w:val="24"/>
        </w:rPr>
        <w:t xml:space="preserve">, CH</w:t>
      </w:r>
      <w:r>
        <w:rPr>
          <w:color w:val="000000"/>
          <w:position w:val="-4"/>
          <w:sz w:val="21"/>
          <w:szCs w:val="21"/>
          <w:vertAlign w:val="subscript"/>
        </w:rPr>
        <w:t xml:space="preserve">3</w:t>
      </w:r>
      <w:r>
        <w:rPr>
          <w:color w:val="000000"/>
          <w:sz w:val="24"/>
          <w:szCs w:val="24"/>
        </w:rPr>
        <w:t xml:space="preserve">, H, CN, etc.) complexes have been prepared and characterized with two 1,3-bis(2-arylimino)isoindoline ligand (aryl = pyridyl, or benzimidazolyl). Using infrared spectroscopy and X-ray structure determination method, it has been found that the binding modes of the carboxylate ligands are very similar. Electrochemical studies at the same time have shown that the redox behavior of the metal center significantly depends on the substituents. Upon crystallization from N,N-dimethylformamide the solid products are arranged in various supramolecular units where the structure of the synthons is affected through hydrogen bonds and π stacking interactions and depends on the quality of aryl groups and carboxylate ligands.</w:t>
      </w:r>
    </w:p>
    <w:p>
      <w:pPr>
        <w:pBdr/>
        <w:spacing w:before="240" w:after="240" w:line="240" w:lineRule="auto"/>
        <w:ind w:left="0" w:right="0"/>
        <w:jc w:val="left"/>
      </w:pPr>
      <w:r>
        <w:rPr>
          <w:color w:val="000000"/>
          <w:sz w:val="24"/>
          <w:szCs w:val="24"/>
        </w:rPr>
        <w:t xml:space="preserve">Keywords: Isoindolin, Copper(II), Redox chemistry, Carboxylate, Mixed-ligand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27850">
    <w:multiLevelType w:val="hybridMultilevel"/>
    <w:lvl w:ilvl="0" w:tplc="80331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27850">
    <w:abstractNumId w:val="26427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684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