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KOVÁCS</w:t>
            </w:r>
          </w:p>
          <w:p w:rsidR="00C275A3" w:rsidRDefault="00A96AEC" w:rsidP="00C275A3">
            <w:pPr>
              <w:pStyle w:val="Hallgatokepzes"/>
            </w:pPr>
            <w:r>
              <w:t>Biochemical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Ferenc Vonderviszt</w:t>
            </w:r>
          </w:p>
          <w:p w:rsidR="00DB4822" w:rsidRDefault="00DB4822" w:rsidP="00E11062">
            <w:pPr>
              <w:pStyle w:val="Konzulensek"/>
            </w:pPr>
            <w:r w:rsidRPr="00DB4822">
              <w:t>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Cloning, overexpression and purification of the FliI protein</w:t>
      </w:r>
    </w:p>
    <w:p w:rsidR="00D71DF5" w:rsidRDefault="00D71DF5" w:rsidP="00AD2602">
      <w:pPr>
        <w:jc w:val="both"/>
      </w:pPr>
    </w:p>
    <w:p>
      <w:pPr>
        <w:pBdr/>
        <w:spacing w:before="240" w:after="240" w:line="240" w:lineRule="auto"/>
        <w:ind w:left="0" w:right="0"/>
        <w:jc w:val="left"/>
      </w:pPr>
      <w:r>
        <w:rPr>
          <w:color w:val="000000"/>
          <w:sz w:val="24"/>
          <w:szCs w:val="24"/>
        </w:rPr>
        <w:t xml:space="preserve">Bacteria move with the help of flagella, which are made up of a rotary molecular engine embedded in the cell membrane and a helical filament attached to it. Filaments are composed of thousands of flagellin subunits and some other proteins, which are synthesized in the cytoplasm and are exported by a special export system to the site of assembly at the distal end of the filament, through the inner channel of the flagellum.</w:t>
      </w:r>
    </w:p>
    <w:p>
      <w:pPr>
        <w:pBdr/>
        <w:spacing w:before="240" w:after="240" w:line="240" w:lineRule="auto"/>
        <w:ind w:left="0" w:right="0"/>
        <w:jc w:val="left"/>
      </w:pPr>
      <w:r>
        <w:rPr>
          <w:color w:val="000000"/>
          <w:sz w:val="24"/>
          <w:szCs w:val="24"/>
        </w:rPr>
        <w:t xml:space="preserve">The 49 kDa sized FliI ATPase is a key element of the export system. Its N-terminal segment, composed of 110 amino acids, is responsible for the interaction with other proteins of the export machinery, while its central region has ATPase activity. FliI uses the energy released during the hydrolysis of ATP to unfold export substrates and facilitate initial entry of their N-terminal segment into the narrow pore of the export gate.</w:t>
      </w:r>
    </w:p>
    <w:p>
      <w:pPr>
        <w:pBdr/>
        <w:spacing w:before="240" w:after="240" w:line="240" w:lineRule="auto"/>
        <w:ind w:left="0" w:right="0"/>
        <w:jc w:val="left"/>
      </w:pPr>
      <w:r>
        <w:rPr>
          <w:color w:val="000000"/>
          <w:sz w:val="24"/>
          <w:szCs w:val="24"/>
        </w:rPr>
        <w:t xml:space="preserve">During standard purification procedures, aggregation of FliI and proteolytic degradation of its sensitive N-terminal region frequently occurred. To solve these problems, I used genetic engineering methods to fuse the glutation-S-transferase (GST) protein to the N-terminus of FliI. GST protects the vulnerable N-terminal part of the protein and helps to avoid aggregation. Moreover, the GST fusion tag allows easy purification by affinity chromatography using a glutathione coupled resign. I placed a specific cleavage site of the TEV protease enzyme between FliI and GST to facilitate selective removal of the GST part after purification. It was also my task to have the GST-FliI fusion protein bacterially produced and purified in large quantities. The FliI generated in this way can serve as a basis for studies aimed at clarifying its role in the functioning of the flagellar export machinery.</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Keywords: FliI ATPase, export system, GST-FliI fusion protein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36833">
    <w:multiLevelType w:val="hybridMultilevel"/>
    <w:lvl w:ilvl="0" w:tplc="55220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36833">
    <w:abstractNumId w:val="19036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3357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