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ERDŐSI BOTOND</w:t>
            </w:r>
          </w:p>
          <w:p w:rsidR="00C275A3" w:rsidRDefault="00A96AEC" w:rsidP="00C275A3">
            <w:pPr>
              <w:pStyle w:val="Hallgatokepzes"/>
            </w:pPr>
            <w:r>
              <w:t>Vállalkozásfejlesztés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MÁRCZI VIKTÓRIA</w:t>
            </w:r>
          </w:p>
          <w:p w:rsidR="00DB4822" w:rsidRDefault="00C275A3" w:rsidP="004D7940">
            <w:pPr>
              <w:pStyle w:val="Hallgatokepzes"/>
            </w:pPr>
            <w:r>
              <w:t>Vállalkozásfejlesztés</w:t>
            </w:r>
            <w:r w:rsidR="00A96AEC">
              <w:br/>
              <w:t>MA, 2. félév</w:t>
            </w:r>
          </w:p>
          <w:p w:rsidR="00DB4822" w:rsidRDefault="00DB4822" w:rsidP="004D7940">
            <w:pPr>
              <w:pStyle w:val="Hallgatointezmeny-kar"/>
            </w:pPr>
            <w:r>
              <w:t>Nyugat-magyarországi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Karner Cecília PhD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KTK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Obádovics Csilla PhD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Helyi pénzek a világban, primerkutatás eredményei a soproni kékfrank utalvány esetében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világon elterjedt helyi fizetőeszközök célja kettős, egyrészt kiegészítik a nemzeti valutával folytatott kereskedelmet egy adott térségben, másrészt összekötik a helyi közösségeket, ezáltal erősítve a helyi gazdaságot és az identitást.</w:t>
      </w:r>
      <w:r>
        <w:rPr>
          <w:color w:val="000000"/>
          <w:sz w:val="24"/>
          <w:szCs w:val="24"/>
        </w:rPr>
        <w:br/>
        <w:t xml:space="preserve">A lakosságra vonatkozó primer kutatás alapján kijelentjük, hogy sokan ismerik a Kékfrank utalványt Sopron városában, mégis kevés azon lakosok száma, akik rendszeresen használják. Ennek legfőbb oka, hogy a soproni és Sopron környéki lakosság nincs tisztában azzal, hogy mire használható, miért előnyös, hol és milyen módon lehet hozzájutni, illetve felhasználni a Kékfrank utalványt.</w:t>
      </w:r>
      <w:r>
        <w:rPr>
          <w:color w:val="000000"/>
          <w:sz w:val="24"/>
          <w:szCs w:val="24"/>
        </w:rPr>
        <w:br/>
        <w:t xml:space="preserve">Az elfogadóhelyekre vonatkozó primer kutatás alapján elmondható, hogy kevés az a vállalkozó, akinek a Kékfrank utalványból származik árbevétele és ez hányad is alig haladja meg az öt százalékot. Úgy gondoljuk, mivel fiatal még a kezdeményezés, így ez az eredmény nem meglepő. Véleményünk szerint, a számlapénz bevezetésével és az elfogadóhelyek által végzett aktívabb marketingkommunikáció segítségével nagyobb sikereket fognak elérni a kezdeményezéshez csatlakozó térség gazdálkodói a jövőben. De ehhez a háttér infrastruktúra (helyi, magyar termékek) kiépítése, helyre állítása elengedhetetlen.</w:t>
      </w:r>
      <w:r>
        <w:rPr>
          <w:color w:val="000000"/>
          <w:sz w:val="24"/>
          <w:szCs w:val="24"/>
        </w:rPr>
        <w:br/>
        <w:t xml:space="preserve">Kutatásunk az elmúlt másfél évre vonatkozik, melyet véleményünk szerint a kezdeti időszakban célszerű lenne évente megismételni, ezzel is követve a változásokat és a további fejlődést.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763691">
    <w:multiLevelType w:val="hybridMultilevel"/>
    <w:lvl w:ilvl="0" w:tplc="441146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763691">
    <w:abstractNumId w:val="207636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13227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