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ERDŐSI</w:t>
            </w:r>
          </w:p>
          <w:p w:rsidR="00C275A3" w:rsidRDefault="00A96AEC" w:rsidP="00C275A3">
            <w:pPr>
              <w:pStyle w:val="Hallgatokepzes"/>
            </w:pPr>
            <w:r>
              <w:t>Business Development</w:t>
            </w:r>
            <w:r>
              <w:br/>
            </w:r>
            <w:r w:rsidR="00E77B23">
              <w:t>MA, 2.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VIKTÓRIA MÁRCZI</w:t>
            </w:r>
          </w:p>
          <w:p w:rsidR="00DB4822" w:rsidRDefault="00C275A3" w:rsidP="004D7940">
            <w:pPr>
              <w:pStyle w:val="Hallgatokepzes"/>
            </w:pPr>
            <w:r>
              <w:t>Business Development</w:t>
            </w:r>
            <w:r w:rsidR="00A96AEC">
              <w:br/>
              <w:t>MA, 2. semester</w:t>
            </w:r>
          </w:p>
          <w:p w:rsidR="00DB4822" w:rsidRDefault="00DB4822" w:rsidP="004D7940">
            <w:pPr>
              <w:pStyle w:val="Hallgatointezmeny-kar"/>
            </w:pPr>
            <w:r>
              <w:t>University of West Hungary</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Cecília Anna Karner</w:t>
            </w:r>
          </w:p>
          <w:p w:rsidR="00DB4822" w:rsidRDefault="00DB4822" w:rsidP="00E11062">
            <w:pPr>
              <w:pStyle w:val="Konzulensek"/>
            </w:pPr>
            <w:r w:rsidRPr="00DB4822">
              <w:t>associate professor, NYME KTK</w:t>
            </w:r>
          </w:p>
        </w:tc>
      </w:tr>
      <w:tr w:rsidR="00DB4822" w:rsidTr="00DB4822">
        <w:tc>
          <w:tcPr>
            <w:tcW w:w="9854" w:type="dxa"/>
          </w:tcPr>
          <w:p w:rsidR="00DB4822" w:rsidRPr="00DB4822" w:rsidRDefault="00DB4822" w:rsidP="004D7940">
            <w:pPr>
              <w:pStyle w:val="Konzulensek"/>
            </w:pPr>
            <w:r w:rsidRPr="00DB4822">
              <w:t>Dr. Csilla Obádovics</w:t>
            </w:r>
          </w:p>
          <w:p w:rsidR="00DB4822" w:rsidRDefault="00DB4822" w:rsidP="00E11062">
            <w:pPr>
              <w:pStyle w:val="Konzulensek"/>
            </w:pPr>
            <w:r w:rsidRPr="00DB4822">
              <w:t>associate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LOCAL CURRENCIES IN THE WORLD, RESULTS OF PRIMARY RESEARCH ON KÉKFRANK VOUCHER IN SOPRON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widespread local currencies in the world is twofold. Firstly to complement the national currency trade in a particular region, on the other hand, linking local communities, thus strengthening local economy and identity.</w:t>
      </w:r>
      <w:r>
        <w:rPr>
          <w:color w:val="000000"/>
          <w:sz w:val="24"/>
          <w:szCs w:val="24"/>
        </w:rPr>
        <w:br/>
        <w:t xml:space="preserve">Based on the primary research on the population we declare that many people are familiar with the Kékfrank voucher in Sopron, yet only few of them are using it regularly. The main reason is that people in and around Sopron are not aware of what it can be used for, why is it beneficial and how to obtain and use the Kékfrank voucher.</w:t>
      </w:r>
      <w:r>
        <w:rPr>
          <w:color w:val="000000"/>
          <w:sz w:val="24"/>
          <w:szCs w:val="24"/>
        </w:rPr>
        <w:br/>
        <w:t xml:space="preserve">The research for places accepting the voucher revealed that only few of the enterprises have income from the Kékfrank voucher, and the proportion is just over five percent. We believe, as the initiative is still young, this result is not surprising. Our opinion is, with introduction of the electronic use of the Kékfrank voucher, and by more attractive marketing communication, greater success is achievable for those who are joining the initiative. To make this happen, the construction and rehabilitation of the background infrastructure (local, Hungarian products) is essential.</w:t>
      </w:r>
      <w:r>
        <w:rPr>
          <w:color w:val="000000"/>
          <w:sz w:val="24"/>
          <w:szCs w:val="24"/>
        </w:rPr>
        <w:br/>
        <w:t xml:space="preserve">Our research covers the past one and a half year, and we think it would be advisable repeat it every year in the initial period, to follow the changes and progress.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11587">
    <w:multiLevelType w:val="hybridMultilevel"/>
    <w:lvl w:ilvl="0" w:tplc="420672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11587">
    <w:abstractNumId w:val="44111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4157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