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NEDELKA ERZSÉBET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Blahó András CSc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Fejlődő Ázsia és a válságok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Számos publikációban olvasható, hogy a fejlődő ázsiai országokat a globális válság sokkal enyhébben érintette, mint a nyugati fejlett országokat. A szakirodalom szintetizálása közben az alábbi kérdések merültek fel bennem: Miért érintette a vizsgált országokat enyhébben a globális válság? Talán az ázsiai válság (Japán esetében a 90-es évek válsága) utáni erőteljes növekedésnek köszönhető, hogy ilyen könnyen túllendültek a válságon? Vagy az ázsiai válság idején a gazdaságba épített fékeknek, melyek időben jelezték a problémákat? Esetleg a szociális háló kiépítettsége (mely által szinten tudták tartani a belső keresletet) az ami az országok kedvező teljesítményét segítette? Vagy nem is az ázsiai válságnak köszönhető, hogy az általam vizsgált kilenc ország egyértelműen túl van a válságon, hanem a sokat hallatott világgazdasági integrációjuk mértéke védte meg őket? Egyáltalán mivel mérhető egy ország világgazdasági integrációja?</w:t>
      </w:r>
      <w:r>
        <w:rPr>
          <w:color w:val="000000"/>
          <w:sz w:val="24"/>
          <w:szCs w:val="24"/>
        </w:rPr>
        <w:br/>
        <w:t xml:space="preserve">A kérdések jelentős részének megválaszolásához szekunder forrásokra, illetve statisztikai adatokra támaszkodtam. Az integrációval kapcsolatos kérdések megválaszolásához pedig három mutatót vettem alapul, melyekből kiszámoltam a vizsgált országok külkereskedelmi, illetve a pénzügyi nyitottságát és vontam le következtetéseimet.</w:t>
      </w:r>
      <w:r>
        <w:rPr>
          <w:color w:val="000000"/>
          <w:sz w:val="24"/>
          <w:szCs w:val="24"/>
        </w:rPr>
        <w:br/>
        <w:t xml:space="preserve">A vizsgálataimra épülő főbb következtetéseim a következők: A vizsgált országok mindegyikére elmondható, hogy az ázsiai válság következtében sokkal stabilabb pénzügyi rendszerrel rendelkezet, mint 1990/1997 előtt. A kormányok legfontosabb célkitűzése volt a nemzetközi valutatartalék megnövelése, az évről évre elérendő pozitív költségvetési egyenleg, melynek köszönhetően a kormány számára tartalékok álltak a rendelkezésére. Ezen tartalékokból pedig különböző kiadási jogcímeken gazdaságösztönző csomagokat és jóléti kiadásokat tudták finanszírozni. Továbbá kereskedelmük intraregionális jellege miatt egymást „segítették” az országok a globális válság leküzdésében.</w:t>
      </w:r>
      <w:r>
        <w:rPr>
          <w:color w:val="000000"/>
          <w:sz w:val="24"/>
          <w:szCs w:val="24"/>
        </w:rPr>
        <w:br/>
        <w:t xml:space="preserve">A vizsgált országok alapján elmondható, hogy bár mindegyikre kihatott a válság, ellenben nem mindegyikben volt válság; továbbá a válság ellenes intézkedéseik mindegyike a belső fogyasztás növelését és az alacsony jövedelműek segítését célozta adócsökkentéssel, közvetlen támogatással, infrastruktúrafejlesztéssel és a foglalkoztatás ösztönzésével.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66262">
    <w:multiLevelType w:val="hybridMultilevel"/>
    <w:lvl w:ilvl="0" w:tplc="23751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66262">
    <w:abstractNumId w:val="70966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998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