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RZEPIEL ANDREA</w:t>
            </w:r>
          </w:p>
          <w:p w:rsidR="00C275A3" w:rsidRDefault="00A96AEC" w:rsidP="00C275A3">
            <w:pPr>
              <w:pStyle w:val="Hallgatokepzes"/>
            </w:pPr>
            <w:r>
              <w:t>Állattenyésztő mérnök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Horvainé dr. Szabó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Zsolt</w:t>
            </w:r>
          </w:p>
          <w:p w:rsidR="00DB4822" w:rsidRDefault="00DB4822" w:rsidP="00E11062">
            <w:pPr>
              <w:pStyle w:val="Konzulensek"/>
            </w:pPr>
            <w:r w:rsidRPr="00DB4822">
              <w:t>ügyvezető,  Genetikával az egészségért egyesület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feline hypertrophiás cardiomyopathia a magyarországi Maine Coon állományban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házimacska fajtákban előforduló örökletes betegségek korai szűrése alapvető fontosságú az állomány egészségének megőrzésében. A hazai maine coon állományról kevés információ áll rendelkezésünkre, átfogó populáció felmérés és genetikai elemzés máig nem történt. A populáció szintű elemzések és nyomonkövetés alapját a biobankok képezik. Jelen kutatásban megalapítottuk a hazai maine coon állomány biobankját, és megkezdtük a mintaállomány feltöltését. 2011. júliusában 199 maine coon macska szájnyálkahártya-mintájából nyertük ki a DNS-t. A kóddal ellátott mintákat -200C-on tároljuk a szakmai előírásoknak megfelelően. A kóddal ellátott minták mellé létrehoztunk egy elektronikus adatbázist, amelyben a kutatási adatok statisztikai feldolgozásra alkalmas formában kerültek archiválásra. A kialakított maine coon biobankban dupla kódolást használtunk, ami azt jelenti, hogy a DNS minták és az adott mintához tartozó adatokat más kóddal láttuk el.</w:t>
      </w:r>
      <w:r>
        <w:rPr>
          <w:color w:val="000000"/>
          <w:sz w:val="24"/>
          <w:szCs w:val="24"/>
        </w:rPr>
        <w:br/>
        <w:t xml:space="preserve">A maine coon fajtát érintő egyik leggyakoribb örökletes megbetegedés a feline hipertrófiás kardiomiopátia (fHCM), mely a szívkamra megvastagodását jelenti. A betegség hátterében a MYBPC3 gén két mutációját azonosították (A31P és A74T), melyek szerepe a tünetek kialakulásában ma még nem teljesen ismert. A biobankban szereplő 158 egyednél elvégeztük a két mutáció szűrését, mely alapján 30 egyednél azonosítottuk az A31P-mutáció jelenlétét (18,9%), míg 34 egyednél az A74T-mutációt (21,5%). A vizsgált 158 egyedből 63 esetében csak az egyik mutáció hordozóságát tudtuk kimutatni (39,8%). 1 egynél 1 kópiában az A31P és A74T mutáció együttes hordozóságát (0,6%) állapítottuk meg.</w:t>
      </w:r>
      <w:r>
        <w:rPr>
          <w:color w:val="000000"/>
          <w:sz w:val="24"/>
          <w:szCs w:val="24"/>
        </w:rPr>
        <w:br/>
        <w:t xml:space="preserve">A kutatás következő lépésében a mutációt hordozó és nem hordozó egyedek évenkénti kardiológiai státuszának nyomon követését tervezzük. 7 csoportot különítettünk el a vizsgált egyedeken belül: (I) normál egyedek (mutációt nem hordozó egyedek), (II) mutációt hordozó egyedek, melyen belül 6 csoportot különítettünk el a heterozigóta és homozigóta mutáns egyedek alapján. Mivel a biobankban szereplő egyedek döntően 2009 és 2011 között születtek, ezért a hordozók hosszú távú nyomon követése alapvető fontosságú.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48039">
    <w:multiLevelType w:val="hybridMultilevel"/>
    <w:lvl w:ilvl="0" w:tplc="50430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48039">
    <w:abstractNumId w:val="40548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101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