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RZEPIEL</w:t>
            </w:r>
          </w:p>
          <w:p w:rsidR="00C275A3" w:rsidRDefault="00A96AEC" w:rsidP="00C275A3">
            <w:pPr>
              <w:pStyle w:val="Hallgatokepzes"/>
            </w:pPr>
            <w:r>
              <w:t>Animal Production Engineering BSc</w:t>
            </w:r>
            <w:r>
              <w:br/>
            </w:r>
            <w:r w:rsidR="00E77B23">
              <w:t>BSc, 5.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Mária Horvai-Szabó</w:t>
            </w:r>
          </w:p>
          <w:p w:rsidR="00DB4822" w:rsidRDefault="00DB4822" w:rsidP="00E11062">
            <w:pPr>
              <w:pStyle w:val="Konzulensek"/>
            </w:pPr>
            <w:r w:rsidRPr="00DB4822">
              <w:t>associate professor, SZIE MKK</w:t>
            </w:r>
          </w:p>
        </w:tc>
      </w:tr>
      <w:tr w:rsidR="00DB4822" w:rsidTr="00DB4822">
        <w:tc>
          <w:tcPr>
            <w:tcW w:w="9854" w:type="dxa"/>
          </w:tcPr>
          <w:p w:rsidR="00DB4822" w:rsidRPr="00DB4822" w:rsidRDefault="00DB4822" w:rsidP="004D7940">
            <w:pPr>
              <w:pStyle w:val="Konzulensek"/>
            </w:pPr>
            <w:r w:rsidRPr="00DB4822">
              <w:t>Zsolt Nagy</w:t>
            </w:r>
          </w:p>
          <w:p w:rsidR="00DB4822" w:rsidRDefault="00DB4822" w:rsidP="00E11062">
            <w:pPr>
              <w:pStyle w:val="Konzulensek"/>
            </w:pPr>
            <w:r w:rsidRPr="00DB4822">
              <w:t>acting manager,  With genetics for health association</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Feline hypertrophic cardiomyopathy in the maine coon stock of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early screening test for the heritable diseases of domestic cat breeds is essential to preserve the health of the stock. There is limited information on maine coon stock, the comprehensive assessment and the genetic assay of the population has not been performed yet. The analyses on the level of the population are based on the biobanks.</w:t>
      </w:r>
      <w:r>
        <w:rPr>
          <w:color w:val="000000"/>
          <w:sz w:val="24"/>
          <w:szCs w:val="24"/>
        </w:rPr>
        <w:br/>
        <w:t xml:space="preserve">In this study we established and initiated the biobank of the hungarian maine coon stock. We extracted the DNA from the buccal swab of 199 maine coon cats in July, 2011. The samples were encoded and stored at -20 oC according to professional principles. In addition to the encoded samples, we established an electronic database that backups the research data eligible for statistical analysis. Double encoding was used in the maine coon biobank; the DNA samples and the data of the appropriate samples were signed by different codes</w:t>
      </w:r>
      <w:r>
        <w:rPr>
          <w:color w:val="000000"/>
          <w:sz w:val="24"/>
          <w:szCs w:val="24"/>
        </w:rPr>
        <w:br/>
        <w:t xml:space="preserve">The most common heritable disease affecting the maine coon is the Feline hypertrophic cardiomyopathy (fHCM) which causes the hypertrophy of the heart ventricles. The disease is associated with the mutations of MYBPC3 gene (A31P and A74T). The role of the mutations in the development of the symptoms has not been fully elucidated. We performed the assay for 2 mutations in case of the 158 cats listed in the biobank database. We identified the A31P mutation by 30 cats (18,9%), and the A74T mutation by 34 cats (21,5%). Among the studied 158 cats we found 63 cats carried only one of the mutations (39,8%). The combined carriage of the A31P and A74T mutation was showed in one case (0,6%).</w:t>
      </w:r>
      <w:r>
        <w:rPr>
          <w:color w:val="000000"/>
          <w:sz w:val="24"/>
          <w:szCs w:val="24"/>
        </w:rPr>
        <w:br/>
        <w:t xml:space="preserve">We are also planning the annual follow of the cardiological status of the cats carrying and lacking the mutation. We divided the examined cats into 7 groups: (I) normal cats ( not carrying the mutation), (II) cats carrying the mutation. Based on the heterozigocy and homozigocy of the mutants, the II group were devided into 6 groups. Since the cats listed in the biobank were born mainly between 2009 and 2011, the long-term following of the carriers is significant.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935610">
    <w:multiLevelType w:val="hybridMultilevel"/>
    <w:lvl w:ilvl="0" w:tplc="448539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935610">
    <w:abstractNumId w:val="909356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3219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