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ELEKES ZOLTÁN</w:t>
            </w:r>
          </w:p>
          <w:p w:rsidR="00C275A3" w:rsidRDefault="00A96AEC" w:rsidP="00C275A3">
            <w:pPr>
              <w:pStyle w:val="Hallgatokepzes"/>
            </w:pPr>
            <w:r>
              <w:t>Regionális és környezeti gazdaságtan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Mozsár Ferenc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ragadozó árképzés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ragadozó árképzésre vonatkozó közgazdasági gondolkodásban jelentős változások történtek az elmúlt 100 év során. Ennek hátterében a játékelmélet stratégiai viselkedéssel kapcsolatos gondolatainak megjelenése és a versenyjogi gyakorlat tapasztalatai állnak. A ragadozó árazás a hazai és nemzetközi szakirodalomban egyaránt fontos és kutatott téma. Ebben a dolgozatban arra a kérdésre kerestem a választ, hogy milyen feltételei lehetnek a ragadozó árazás sikerességének, valamint ezek a feltételek milyen kapcsolatban állnak a versenyjogi gyakorlattal. A dolgozat első részében áttekintettem a ragadozó árképzés elméletével kapcsolatos legfontosabb gondolatokat, különös tekintettel a modern piacelméleti és játékelméleti aspektusokra. A második részben a vonatkozó szakirodalomban fellelhető esettanulmányok alapján vizsgáltam a ragadozó árazás versenyjogi megítélésének lehetőségeit ágazati és piaci kontextusban. Az összehasonlított esettanulmányok a légiközlekedési ágazatra, az Európai Unióban meghatározó France Télécom jogesetre és India feltörekvő piaci tapasztalataira vonatkoztak. A dolgozat eredményei szerint a ragadozó árazás elméleti vizsgálatakor élesen elkülönül a versenyjogi és játékelméleti megközelítésmód. Másodszor a ragadozó árazás megítélésének árakra és piaci részesedésekre redukálása helyett a jelenséget a maga komplexitásában érdemes megragadni. Harmadszor a vállalati magatartások versenybírósági és tudományos elemzésekor érdemes figyelembe venni a konkrét piaci kontextust. A fejlődő országok esetében például az ár vagy a piaci részesedés nem feltétlenül indikátora a stratégiai viselkedésnek. Végül mindezek alapján a ragadozó árazás versenybírósági gyakorlatában a részletes hatásvizsgálatok mainál szélesebb körű alkalmazása szükséges.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062910">
    <w:multiLevelType w:val="hybridMultilevel"/>
    <w:lvl w:ilvl="0" w:tplc="794090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062910">
    <w:abstractNumId w:val="940629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56699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