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BÓDI</w:t>
            </w:r>
          </w:p>
          <w:p w:rsidR="00C275A3" w:rsidRDefault="00A96AEC" w:rsidP="00C275A3">
            <w:pPr>
              <w:pStyle w:val="Hallgatokepzes"/>
            </w:pPr>
            <w:r>
              <w:t>International business</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Lipták</w:t>
            </w:r>
          </w:p>
          <w:p w:rsidR="00DB4822" w:rsidRDefault="00DB4822" w:rsidP="00E11062">
            <w:pPr>
              <w:pStyle w:val="Konzulensek"/>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and european trends of atypical employment forms. Atypical is typical?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Atypical employment is more and more populary among employers and employees.</w:t>
      </w:r>
      <w:r>
        <w:rPr>
          <w:color w:val="000000"/>
          <w:sz w:val="24"/>
          <w:szCs w:val="24"/>
        </w:rPr>
        <w:br/>
        <w:t xml:space="preserve">This is the most common form of work in Western Europe, particularly in the Benelux and Nordic countries. Although different kind of work forms become more acceptable, they are currently unused in Hungary.</w:t>
      </w:r>
      <w:r>
        <w:rPr>
          <w:color w:val="000000"/>
          <w:sz w:val="24"/>
          <w:szCs w:val="24"/>
        </w:rPr>
        <w:br/>
        <w:t xml:space="preserve">Atypical employment especially prevalent among women. Atypical employment benefits that workers can be more effectively and prevent the development of long-term unemployment and job skills may be important to preserve.</w:t>
      </w:r>
      <w:r>
        <w:rPr>
          <w:color w:val="000000"/>
          <w:sz w:val="24"/>
          <w:szCs w:val="24"/>
        </w:rPr>
        <w:br/>
        <w:t xml:space="preserve">In my work I am looking for the answer to the question that the wider use of atypical forms of employment, reduce unemployment and whether the solution may become to the labor market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61022">
    <w:multiLevelType w:val="hybridMultilevel"/>
    <w:lvl w:ilvl="0" w:tplc="63415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61022">
    <w:abstractNumId w:val="71561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284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