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GYULAI ZOLTÁN</w:t>
            </w:r>
          </w:p>
          <w:p w:rsidR="00C275A3" w:rsidRDefault="00A96AEC" w:rsidP="00C275A3">
            <w:pPr>
              <w:pStyle w:val="Hallgatokepzes"/>
            </w:pPr>
            <w:r>
              <w:t>Létesítménymérnöki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Bodnár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Tanszékvezető,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és következményeik az elmúlt évtizedek vízfogyasztásában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jelentős változások történtek a vízfogyasztásban. A dolgozat célja rámutatni a változásokra és arra a tényre, hogy a mai megváltozott állapotokat igenis szükséges alaposabban vizsgálni, és ha az eredmények megkívánják felül kell bírálni a korábban kialakult szemléleteket. A dolgozatban szereplő adatokból is sejthető, hogy minden időszaknak megvannak a sajátosságai. A rendszerváltás előtti időszakban másképpen álltak a víztakarékossághoz, mint napjainkban. Nem vonható le azonban egyértelmű következtetés arra vonatkozóan, hogy a magas vízdíjak víztakarékosságra ösztönöznek, mint ahogy az sem jelenthető ki, hogy az alacsony díjak esetén feltételezhető a pazarlás. Az adott technikai színvonal, az emberek életszínvonala éppen úgy hatással van az elfogyasztott víz mennyiségére, mint az időjárási sajátosságok vagy éppen az egyéni hozzáállás. A Németországi példával szerettem volna kihangsúlyozni, hogy önmagában a víztakarékosság hangsúlyozása nem jelent megoldást, hiszen kialakult közműves hálózatunk igen jelentős vagyont képvisel. Nem biztos, hogy jelen technológiai színvonal mellett képes lesz feladatát ellátni a végletekig lecsökkent fogyasztás esetén. A későbbiekben mindenképpen érdemes lenne a csökkenő vízfogyasztás hatásait a vízelvezetés oldaláról is megvizsgálni.</w:t>
      </w:r>
      <w:r>
        <w:rPr>
          <w:color w:val="000000"/>
          <w:sz w:val="24"/>
          <w:szCs w:val="24"/>
        </w:rPr>
        <w:br/>
        <w:t xml:space="preserve">Az általam meghatározott vízfogyasztási fejadag tájékoztatás adhat arra vonatkozóan, hogy jelenleg milyen nagyságrendet képvisel egy – egy ember által egy nap alatt elfogyasztott víz mennyisége. Levonható a következtetés, miszerint valóban nem aktuálisak a korábbi szabványok ajánlásai, tehát az ezek alapján történő méretezés pontossága valóban kétségbe vonható.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jövőre vonatkozóan várhatóan folytatódik majd a csökkenő tendencia azonban nem lesz olyan mértékű, mint az elmúlt évtizedekben, így talán még van időnk mélyebben elgondolkodni a kialakult fogyasztási szokásainkról és az általuk okozott következményekről.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02377">
    <w:multiLevelType w:val="hybridMultilevel"/>
    <w:lvl w:ilvl="0" w:tplc="41197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02377">
    <w:abstractNumId w:val="76102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49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