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GYULAI</w:t>
            </w:r>
          </w:p>
          <w:p w:rsidR="00C275A3" w:rsidRDefault="00A96AEC" w:rsidP="00C275A3">
            <w:pPr>
              <w:pStyle w:val="Hallgatokepzes"/>
            </w:pPr>
            <w:r>
              <w:t>Building engineer</w:t>
            </w:r>
            <w:r>
              <w:br/>
            </w:r>
            <w:r w:rsidR="00E77B23">
              <w:t>BSc, 6.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Bodnár</w:t>
            </w:r>
          </w:p>
          <w:p w:rsidR="00DB4822" w:rsidRDefault="00DB4822" w:rsidP="00E11062">
            <w:pPr>
              <w:pStyle w:val="Konzulensek"/>
            </w:pPr>
            <w:r w:rsidRPr="00DB4822">
              <w:t>High School Teacher, Head of Department,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and their implications for water consumption in recent decades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Recently, there have been significant changes in water consumption. This paper aims to point out the changes and the fact that in today's changed conditions is indeed necessary to examine more closely, and if the results require to be reconsidered the previous attitude. From the information of this paper can be suspected that every period has its own specificities. People's attitude to the water consumption were different before the political system changed than nowadays. However, is not deductible clearly the conclusion as to the high water prices encourage to the water saving and the low rates cause wasting. In a technical level, just as people's living standards affects the amount of water consumed, such as the weather or even the individual peculiarities attitude. With the German example, I wanted to emphasize that only the highlight on water conservation is not provide the solution, because the developed public utility networks are represent significant wealth. Not sure that today's technology will be able to do their task if the water consumption decrease extremly. In the future, it is certainly worth to examine the decreasing water consumption from the side of the drainage.</w:t>
      </w:r>
      <w:r>
        <w:rPr>
          <w:color w:val="000000"/>
          <w:sz w:val="24"/>
          <w:szCs w:val="24"/>
        </w:rPr>
        <w:br/>
        <w:t xml:space="preserve">By my examined water consumption ratings can be give information about the size of the water consumption that one person use nowadays. It can be concluded that it is really not up to date on the recommendations of previous standards, so based on this standards the accuracy of the result is indeed questionable.</w:t>
      </w:r>
    </w:p>
    <w:p>
      <w:pPr>
        <w:pBdr/>
        <w:spacing w:before="240" w:after="240" w:line="240" w:lineRule="auto"/>
        <w:ind w:left="0" w:right="0"/>
        <w:jc w:val="left"/>
      </w:pPr>
      <w:r>
        <w:rPr>
          <w:color w:val="000000"/>
          <w:sz w:val="24"/>
          <w:szCs w:val="24"/>
        </w:rPr>
        <w:t xml:space="preserve">In the future expected to continue the downward trend but will not decrease as far as the past few decades, so perhaps we have still time to thinking more deeply by the formed water consumption attitudes and the consequences which due to this attitudes formed.</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06812">
    <w:multiLevelType w:val="hybridMultilevel"/>
    <w:lvl w:ilvl="0" w:tplc="24324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06812">
    <w:abstractNumId w:val="94606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2328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