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SZABO</w:t>
            </w:r>
          </w:p>
          <w:p w:rsidR="00C275A3" w:rsidRDefault="00A96AEC" w:rsidP="00C275A3">
            <w:pPr>
              <w:pStyle w:val="Hallgatokepzes"/>
            </w:pPr>
            <w:r>
              <w:t>international business</w:t>
            </w:r>
            <w:r>
              <w:br/>
            </w:r>
            <w:r w:rsidR="00E77B23">
              <w:t>BA, 5.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Henrietta Finna</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is your number? 80's? 90's? New motivation package for the hungarian generation 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essay focused on one of the most current issues in connection with the labor force: the motivation of the Generation Y and their attitude to work. This topic is very important since the majority of Generation Y step into the labor market just now, therefore new challenges and requirements are emerging for the leaders having to manage Y-s.</w:t>
      </w:r>
      <w:r>
        <w:rPr>
          <w:color w:val="000000"/>
          <w:sz w:val="24"/>
          <w:szCs w:val="24"/>
        </w:rPr>
        <w:br/>
        <w:t xml:space="preserve">During the project our own primary research was prepared besides which secondary information was also used. It was essential because there was no survey available with such a scope in Hungary. Our survey observed the characteristics and the motivators of Generation Y, and strived for giving an overall picture about how they can imagine their future in the world of work. The size of the sample was more than 250, and even though it was not representative, but it was possible to draw suitable conclusions which based on the results are. In the course of the data analysis, the main characteristics of the examined generation as well as trends have been delineated that helped us determine the effects of work motivators (waging, the different career path possibilities) on young people. In addition, we learned about some novel, alternative motivational processes that can be suitably applied to the examined population.</w:t>
      </w:r>
      <w:r>
        <w:rPr>
          <w:color w:val="000000"/>
          <w:sz w:val="24"/>
          <w:szCs w:val="24"/>
        </w:rPr>
        <w:br/>
        <w:t xml:space="preserve">According to our research, it can be stated that there are big differences among young adults and the members of other (earlier) generations; therefore we have to deal with them in different ways, since they are more open-minded, flexible and change-oriented. The members of the Net Generation prefer more inner motivators, such as self-realization, honorable mention and development. Necessarily, employers have to change their behavior and managing tools, they need to use new motivational methods, for instance giving positive feedback or using empowerment throughout projects. In the war of talents, managers also have to adapt traditional motivators, but now they need to pay more attention to the individuals since this is the only way to retain talents with high potential in the long term and to employ them to serve the interests of the company efficiently.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64092">
    <w:multiLevelType w:val="hybridMultilevel"/>
    <w:lvl w:ilvl="0" w:tplc="32131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64092">
    <w:abstractNumId w:val="50464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5871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