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KOZAK</w:t>
            </w:r>
          </w:p>
          <w:p w:rsidR="00C275A3" w:rsidRDefault="00A96AEC" w:rsidP="00C275A3">
            <w:pPr>
              <w:pStyle w:val="Hallgatokepzes"/>
            </w:pPr>
            <w:r>
              <w:t>Regional and environmental economics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Csete</w:t>
            </w:r>
          </w:p>
          <w:p w:rsidR="00DB4822" w:rsidRDefault="00DB4822" w:rsidP="00E11062">
            <w:pPr>
              <w:pStyle w:val="Konzulensek"/>
            </w:pPr>
            <w:r w:rsidRPr="00DB4822">
              <w:t>PhD,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Recommendation for the climate strategy of Rákosmente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Rákosmente has the largest area among the districts of Budapest, and it has such natural resources, which contribute to the welfare to its inhabitants. Climate change threatens the existence of these resources, as well as the well-being of the population. A climate strategy could contribute on local scale to the actions against climate change, and help the adaptation of the population to the changing climate. A possible road map of creation of a climate strategy complemented with a first two-year long action plan is drawn up in the paper for the XVII. district of Budapest. The local politics and the Local Agenda process play a key role in the formation of the strategy, especially the latter, in which the population is involved at different stages and levels in the strategy developing process. The different parts of the district used to be separate settlements which have a strong identity, and culture plays an important role in these communities, which are a good basis for the local agenda process. The strategy follows the well-known layout of such documents (mitigation, adaptation, awareness raising), although in the first two-year long action play the awareness raising is prioritized in order to make the behavior of the population more cooperative for the future, greater scale actions. Actions for mitigation and adaptation are part of this action plan, which may play an important role in the future spatial planning actions of Rákosmente, in which the climate aspects (perhaps with the help of this strategy) cannot be shunned.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08659">
    <w:multiLevelType w:val="hybridMultilevel"/>
    <w:lvl w:ilvl="0" w:tplc="6482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08659">
    <w:abstractNumId w:val="76108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857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