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SOMA LEPCSENYI</w:t>
            </w:r>
          </w:p>
          <w:p w:rsidR="00C275A3" w:rsidRDefault="00A96AEC" w:rsidP="00C275A3">
            <w:pPr>
              <w:pStyle w:val="Hallgatokepzes"/>
            </w:pPr>
            <w:r>
              <w:t>Communication and Media Studies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Zsolt Bátori</w:t>
            </w:r>
          </w:p>
          <w:p w:rsidR="00DB4822" w:rsidRDefault="00DB4822" w:rsidP="00E11062">
            <w:pPr>
              <w:pStyle w:val="Konzulensek"/>
            </w:pPr>
            <w:r w:rsidRPr="00DB4822">
              <w:t>Senior Resercher,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Interpretation of glitch-art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paper, i would like to confirm my thesis, that however glitch art, also known as failure aesthetics, is a higly technical artform, for the interpretation one doesn't need to have a proper knowledge of the technical beckground. In my confirmation I will use the thesis of Arthur C. Danto, Peter Kivy, and Noel Carroll over and above the collection of the It was just a glitch exhibition, placed at Budapest at Chinese Charaters Contemporary Art Gallerry.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99857">
    <w:multiLevelType w:val="hybridMultilevel"/>
    <w:lvl w:ilvl="0" w:tplc="87414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99857">
    <w:abstractNumId w:val="196998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81846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