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SŐREG KRISZTINA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Meyer Dietmar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tanár,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Kurtán Lajosné Dr. Vadászlaki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Millenniumi Fejlesztési Célok vs. SAPRI jelentés - intézmények és adatok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kutatómunkám legfőbb célkitűzése, hogy egy kiterjedt elemzés keretében arra keressek válaszokat, hogy vajon a nemzetközi intézmények által működtetett programok és publikált adatbázisok a SAPRI jelentéshez hasonló kezdeményezésekkel összevetve mennyiben tükrözik a valóságot, kinek az érdekeit szolgálhatják, illetve létezik-e egyfajta kompromisszumon alapuló megoldás a civil szféra, a kormányzatok és a nemzetközi szervezetek között.</w:t>
      </w:r>
      <w:r>
        <w:rPr>
          <w:color w:val="000000"/>
          <w:sz w:val="24"/>
          <w:szCs w:val="24"/>
        </w:rPr>
        <w:br/>
        <w:t xml:space="preserve">Dolgozatomban egy összehasonlítás keretében két különböző szemszögből vizsgálom meg a Millenniumi Fejlesztési Célokat, majd pedig figyelemmel követem állítólagos eredményességüket a gyakorlatban. Munkám bevezető részében a globalizáció és a növekedés leírása adja meg a kiindulási alapot, majd rátérek a nyolc célkitűzés és a World Competitivness Yearbook példájára szembeállítva ezeket a SAPRI jelentéssel, mely alapjaiban kérdőjelezi meg a nemzetközi intézmények által publikált adatokat, és végül szemügyre veszem azt, hogy a Commonwealth Foudation hogyan látja e dilemmák áthidalását a gyakorlatban.</w:t>
      </w:r>
      <w:r>
        <w:rPr>
          <w:color w:val="000000"/>
          <w:sz w:val="24"/>
          <w:szCs w:val="24"/>
        </w:rPr>
        <w:br/>
        <w:t xml:space="preserve">Vajon tényleg érezhetőek-e a millenniumi célok hatásai a gazdaságban? Mennyire kell részletekbe menően megtervezni a szükséges intézkedéseket például a szegénység legyőzésére, hogyha a világgazdaság egy állandóan változó dinamikus közeg? Az eddig eltelt 20 év elegendő vagy kevés annak megítéléséhez, hogy ez a program elérheti-e a kívánt eredményeket 2015-ig, és hogyan látja ezt a civil társadalom? Ki finanszírozza és működteti ezeket a programokat, illetve milyen intézmények állnak a háttérben? Az adósságelengedés kedvezhet a potyautas magatartásnak? Ilyen és ehhez hasonló kérdésekre próbálok válaszokat találni a közgazdaságtan és a gazdaságpolitika különböző területeit vizsgálva.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87023">
    <w:multiLevelType w:val="hybridMultilevel"/>
    <w:lvl w:ilvl="0" w:tplc="58739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87023">
    <w:abstractNumId w:val="45587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105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