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HEBŐK VIVIEN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Műszaki és 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Drávavölgyi Tibor</w:t>
            </w:r>
          </w:p>
          <w:p w:rsidR="00DB4822" w:rsidRDefault="00DB4822" w:rsidP="00E11062">
            <w:pPr>
              <w:pStyle w:val="Konzulensek"/>
            </w:pPr>
            <w:r w:rsidRPr="00DB4822">
              <w:t>intézetvezető, főiskolai tanár, EJF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Marketing eszközrendszer alkalmazása az ügyfél-orientált közigazgatásért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marketing az üzleti világ minden pontját áthatja, mozgatórugóját képezi, folyamatosan alakítja és fejleszti. A marketing eszközrendszer célja a vevőérték létrehozása, melynek használata nyilvánvalóan a verseny által vezérelt üzleti világban elengedhetetlen.</w:t>
      </w:r>
      <w:r>
        <w:rPr>
          <w:color w:val="000000"/>
          <w:sz w:val="24"/>
          <w:szCs w:val="24"/>
        </w:rPr>
        <w:br/>
        <w:t xml:space="preserve">Megfeledkezünk viszont a közigazgatásról, holott a bürokratikus rendszerben is emberek dolgoznak társadalmi igények kielégítéséért. E téren azonban hajlamosak vagyunk figyelmen kívül hagyni az értékteremtést és a kommunikációt, hiszen szilárd meggyőződésünk, hogy a bürokráciát a törvények és jogszabályok irányítják és tartják életben.</w:t>
      </w:r>
      <w:r>
        <w:rPr>
          <w:color w:val="000000"/>
          <w:sz w:val="24"/>
          <w:szCs w:val="24"/>
        </w:rPr>
        <w:br/>
        <w:t xml:space="preserve">A gazdaság globalizációs folyamatainak velejárója a tökéletességre törekvés, a mindig jobb és jobb alkotása, új és innovatív termékek, szolgáltatások bevezetése és a folyamatos korszerűsítés.</w:t>
      </w:r>
      <w:r>
        <w:rPr>
          <w:color w:val="000000"/>
          <w:sz w:val="24"/>
          <w:szCs w:val="24"/>
        </w:rPr>
        <w:br/>
        <w:t xml:space="preserve">Éppen ezért tartom kiemelkedő fontosságúnak, hogy a magánszférában alkalmazott üzleti sikerhez vezető folyamatokat és eszközrendszert a közigazgatásba is átültessük. A vállalatok, cégek által elkényeztetett fogyasztók a közigazgatásban is elvárják a gyors ügyintézést, az igények azonnali kielégítését, a problémák megoldását és az empatikus bánásmódot.</w:t>
      </w:r>
      <w:r>
        <w:rPr>
          <w:color w:val="000000"/>
          <w:sz w:val="24"/>
          <w:szCs w:val="24"/>
        </w:rPr>
        <w:br/>
        <w:t xml:space="preserve">A marketing alkalmazása azonban nem könnyű egy olyan rendszer esetében, mely merev, hierarchikus talapzaton álló és törvények által szabályozott.</w:t>
      </w:r>
      <w:r>
        <w:rPr>
          <w:color w:val="000000"/>
          <w:sz w:val="24"/>
          <w:szCs w:val="24"/>
        </w:rPr>
        <w:br/>
        <w:t xml:space="preserve">A tanulmány célja, hogy rámutasson azokra a lehetőségekre, melyekkel a merev bürokratikus rendszer felolvasztható, bemutatja azokat az elemeket, módszereket és értékeket, melyek a kultúraváltás érdekében a közigazgatásba adaptálandók, valamint azokat a folyamatokat, melyek lehetővé teszik, hogy az új, ügyfél-orientált modell tartósan fennmaradjon.</w:t>
      </w:r>
      <w:r>
        <w:rPr>
          <w:color w:val="000000"/>
          <w:sz w:val="24"/>
          <w:szCs w:val="24"/>
        </w:rPr>
        <w:br/>
        <w:t xml:space="preserve">Mivel célunk a rendszer lágyítása, így rá kell mutatnunk azokra a tényezőkre, melyek merevvé és zorddá teszik a közigazgatást. Ez a vizsgálódás kiindulópontja, melyben a klasszikus és tradicionális weberi álláspont segít bennünket. A problémák feltérképezési után elemezzük az üzleti szférában sikeres eszközrendszereket (McCarthy-féle „4P” – modell, Quinn – modell), módszereket (CAF, TQM), valamint megvalósíthatóságuk alapfeltételeit (motiváció, empowerment, teljesítményértékelés). Az elméleti áttekintés azt bizonyítja, hogy a legfontosabb az emocionális jegyek beépítése, az ember érző lényként kezelése a közigazgatásban. Ennek bizonyításaként a teoretikus kutatást empirikus vizsgálódás követi. Az ügyfelek, magyar állampolgárok körében végzett kérdőíves közvéleménykutatás még inkább alátámasztja a változtatás fontosságát.</w:t>
      </w:r>
      <w:r>
        <w:rPr>
          <w:color w:val="000000"/>
          <w:sz w:val="24"/>
          <w:szCs w:val="24"/>
        </w:rPr>
        <w:br/>
        <w:t xml:space="preserve">Végezetül összegezzük a problémákat és megoldásukat, valamint azt, hogyan valósítható meg mindez az ügyfelek, a közigazgatás és a mindenkori kormányzat együttes közreműködésével.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40146">
    <w:multiLevelType w:val="hybridMultilevel"/>
    <w:lvl w:ilvl="0" w:tplc="46783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40146">
    <w:abstractNumId w:val="22640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659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