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BÁTOR</w:t>
            </w:r>
          </w:p>
          <w:p w:rsidR="00C275A3" w:rsidRDefault="00A96AEC" w:rsidP="00C275A3">
            <w:pPr>
              <w:pStyle w:val="Hallgatokepzes"/>
            </w:pPr>
            <w:r>
              <w:t>Environmental Engineer</w:t>
            </w:r>
            <w:r>
              <w:br/>
            </w:r>
            <w:r w:rsidR="00E77B23">
              <w:t>BSc, 3.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Hosam Bayoumi Hamuda</w:t>
            </w:r>
          </w:p>
          <w:p w:rsidR="00DB4822" w:rsidRDefault="00DB4822" w:rsidP="00E11062">
            <w:pPr>
              <w:pStyle w:val="Konzulensek"/>
            </w:pPr>
            <w:r w:rsidRPr="00DB4822">
              <w:t>Professor, associate 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herbicides on soil microbial biomass and enzyme activity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Pot experiments were conducted to determine effects of glyphosate, trifluralin, 2,4-D and acetochlor applied at five rates (0, 0.1, 1, 10 and 100 mg/kg soil) on total organic carbon (TOC), carbon dioxide (CO2) production, microbial biomass carbon (MBC), enumeration of aerobic heterotrophic bacteria, filamentous fungal population, cellulose-decomposers and enzymatic activity of fluorescein diacetic acid (FDA) in kovarvany brown forest (KBF, Nyíregyháza) and meadow chernozem (MC, Szeged) soil types (45% water holding capacity) incubated for 7 days at temperature 28°C. Results showed that the toxicity decreasing order of herbicides was glyphosate &gt; trifluralin &gt; 2,4-D &gt; acetochlor. In general, the assessment demonstrated that the tested parameters in MC soil type were higher than those obtained from KBF soil type under the stress of four tested herbicides.</w:t>
      </w:r>
      <w:r>
        <w:rPr>
          <w:color w:val="000000"/>
          <w:sz w:val="24"/>
          <w:szCs w:val="24"/>
        </w:rPr>
        <w:br/>
        <w:t xml:space="preserve">It was found that 100 mg/kg of the herbicide in soil inhibited all experimental parameters except TOC. The results established that at 10 mg/kg of herbicides used, the rates of population of filamentous fungi, the FDA and MBC were positively higher than in case of CO2, TOC, bacterial population and cellulose decomposers. Furthermore, it was found that, at 0.1 and 1 mg/kg of herbicides had a stimulatory effect in all parameters. These results suggest that the toxicity of glyphosate is the highest, and the soil biological system was affected due to the reduction in soil nutrient content.</w:t>
      </w:r>
      <w:r>
        <w:rPr>
          <w:color w:val="000000"/>
          <w:sz w:val="24"/>
          <w:szCs w:val="24"/>
        </w:rPr>
        <w:br/>
        <w:t xml:space="preserve">Results indicated that the herbicidal treatments at the tested levels were not deleterious to soil microbial and enzymatic activities which are important to soil fertility. This study has shown the microbial activity increased as a result of adaptation to the herbicides during incubation; also, demonstrated a potential capacity for adaptation of the microorganisms in soils when large amounts of herbicides are added.</w:t>
      </w:r>
      <w:r>
        <w:rPr>
          <w:color w:val="000000"/>
          <w:sz w:val="24"/>
          <w:szCs w:val="24"/>
        </w:rPr>
        <w:br/>
        <w:t xml:space="preserve">The organic components of soils usually respond more quickly to the changing in soil conditions, including soil physicochemical properties, therefore, the microbial populations and soil enzyme activity can serves as bioindicator regards soil fertility.</w:t>
      </w:r>
      <w:r>
        <w:rPr>
          <w:color w:val="000000"/>
          <w:sz w:val="24"/>
          <w:szCs w:val="24"/>
        </w:rPr>
        <w:br/>
        <w:t xml:space="preserve">Further research is necessary to the standard registered herbicides in the environment during long-term experiment to measure the potential negative effect in agricultural field and soil fertility, and it is important to recognize that there are the potential toxic effects on microbial processes in soil.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99361">
    <w:multiLevelType w:val="hybridMultilevel"/>
    <w:lvl w:ilvl="0" w:tplc="38610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99361">
    <w:abstractNumId w:val="440993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317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