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SZILVIA ZELINA</w:t>
            </w:r>
          </w:p>
          <w:p w:rsidR="00C275A3" w:rsidRDefault="00A96AEC" w:rsidP="00C275A3">
            <w:pPr>
              <w:pStyle w:val="Hallgatokepzes"/>
            </w:pPr>
            <w:r>
              <w:t>Könnyűipari 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Prokai Piroska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Képregények szerkesztése és digitális nyomtatása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Szerte a világon nagy érdeklődést váltanak ki e rajzolt műfaj képviselői, mégis igen kevés szakirodalom létezik a képregénnyel kapcsolatban, s még kevesebb publikáció foglalkozik vele magyar nyelven. Ezért is választottuk a képregényeket a TDK dolgozat témájául, hogy népszerűsítsük ezt a műfajt, valamint a TDK dolgozattal egy hiánypótló szakirodalmat állítsunk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átfogó képet adjon egy képregény elkészítéséről. Az ötlettől kezdve fokozatosan mutatja be az alkotás fázisait a megvalósításig, azaz a képregény digitális nyomtatásáig. Megvizsgálja a képregények vonalas rajzainak digitalizálási, szerkesztési és nyomtatási lehetőségeit, és korlátait.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irodalmi része áttekinti a képregény műfajának történelmét, és a műfaj egyedi jellemvonásait. Bemutatja a képregényeknél használt tipográfiai jellegzetességeket, és ismerteti a választott digitális nyomtatási technológiákat.</w:t>
      </w:r>
      <w:r>
        <w:rPr>
          <w:color w:val="000000"/>
          <w:sz w:val="24"/>
          <w:szCs w:val="24"/>
        </w:rPr>
        <w:br/>
        <w:br/>
        <w:t xml:space="preserve">A képregény műfaja által nyújtott formai, digitalizálási és a kivitelezési lehetőségekkel és korlátokkal a TDK dolgozat vizsgálati része foglalkozik. Részletesen ismerteti a tussal készített vonalas grafikák különböző módon – fekete-fehér, szürkeárnyalatos és színes színfelbontással – történő digitalizálásakor felmerült problémákat és jelenségeket. A digitalizált grafikákat a képregény nyomtatásához választott digitális nyomdagépeken (Xerox DocuColor 3535 és Canon ImagePRESS C1) készített próbanyomatok segítségével videó-mikroszkópos vizsgálatnak veti alá, melyet összehasonlít az eredetivel, illetve a számítógépen készült szövegbuborékok vonalaival is. Megvizsgálja, hogy vajon mely szkennelési móddal készített, és mely fájlformátumban elmentett rajzok a legalkalmasabbak a sokszorosításra. A képregény formátumának, betűtípusának, szedéstükrének meghatározása után leírja az alkalmazott szoftverek segítségével (CorelDRAW X4, Adobe PhotoShop CS2 és Adobe InDesign CS2) elkészített feliratok és szövegbuborékok elkészítésének előnyös és hátrányos tapasztalatait, illetve a végleges összeállítás folyamatát.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92417">
    <w:multiLevelType w:val="hybridMultilevel"/>
    <w:lvl w:ilvl="0" w:tplc="48185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92417">
    <w:abstractNumId w:val="17692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220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