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BORBÉLY ANNA KATA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FEKETE BEATRIX</w:t>
            </w:r>
          </w:p>
          <w:p w:rsidR="00DB4822" w:rsidRDefault="00C275A3" w:rsidP="004D7940">
            <w:pPr>
              <w:pStyle w:val="Hallgatokepzes"/>
            </w:pPr>
            <w:r>
              <w:t>nemzetközi gazdálkodás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Budapesti Gazdasági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Külkereskedelmi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Bradeánné Gacs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BGF KKK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Loidlné Pápista Márta</w:t>
            </w:r>
          </w:p>
          <w:p w:rsidR="00DB4822" w:rsidRDefault="00DB4822" w:rsidP="00E11062">
            <w:pPr>
              <w:pStyle w:val="Konzulensek"/>
            </w:pPr>
            <w:r w:rsidRPr="00DB4822">
              <w:t>Gazdasági oktató,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Diákhitel a német nyelvű országokban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Mélyen Tisztelt Olvasók,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Tanulmányunk során részletesen megvizsgáltuk a németnyelvű országokban (Németország, Ausztria, és Svájc) működő diákhitelrendszereket és az eredményeket összehasonlítottuk a magyar gyakorlattal. A hitellehetőségek mellett vázoltuk még az adott országok ösztöndíjprogramjait, egyéb hallgatói juttatásokat és támogatásokat is, hiszen azok szoros kapcsolatban állnak a hitelrendszerrel.</w:t>
      </w:r>
      <w:r>
        <w:rPr>
          <w:color w:val="000000"/>
          <w:sz w:val="24"/>
          <w:szCs w:val="24"/>
        </w:rPr>
        <w:br/>
        <w:t xml:space="preserve">Az elemzés a diákhitel témáját komplexen leírja, olyan összefoglaló ismereteket nyújt, melyekkel a hitelszerződés megkötése előtt mindenképpen tisztában kell lenni.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Megpróbáltunk minden kondíciót pontosan bemutatni, minden mellékletet csatoltunk és hozzáfűztük véleményünket az egyes hiteltípusokhoz. A tanulmány végén összehasonlítjuk a négy kiválasztott hitelrendszert és kiemeltünk mind pozitív és negatív oldalaikat bemutatni.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Borbély Anna Kata és Fekete Beatrix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03290">
    <w:multiLevelType w:val="hybridMultilevel"/>
    <w:lvl w:ilvl="0" w:tplc="91149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03290">
    <w:abstractNumId w:val="195032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4861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