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EGON BUDAI</w:t>
            </w:r>
          </w:p>
          <w:p w:rsidR="00C275A3" w:rsidRDefault="00A96AEC" w:rsidP="00C275A3">
            <w:pPr>
              <w:pStyle w:val="Hallgatokepzes"/>
            </w:pPr>
            <w:r>
              <w:t>International Studies</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Majtényi</w:t>
            </w:r>
          </w:p>
          <w:p w:rsidR="00DB4822" w:rsidRDefault="00DB4822" w:rsidP="00E11062">
            <w:pPr>
              <w:pStyle w:val="Konzulensek"/>
            </w:pPr>
            <w:r w:rsidRPr="00DB4822">
              <w:t>associate professor and head of department,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Present and Future of French Minority Policy: a Centralised European State Caught in the Crossfire between the Occitan Ethnic Struggles and the Requirements of the Lisbon Treaty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France, an empire which was Europeanised partly because of the Cold War, has had a defining economic, political and cultural influence within the European Union until this day. She usually favours deeper integration. Inclination towards centralisation on a supranational level is based on the French traditions of statehood.</w:t>
      </w:r>
    </w:p>
    <w:p>
      <w:pPr>
        <w:pBdr/>
        <w:spacing w:before="240" w:after="240" w:line="240" w:lineRule="auto"/>
        <w:ind w:left="0" w:right="0"/>
        <w:jc w:val="left"/>
      </w:pPr>
      <w:r>
        <w:rPr>
          <w:color w:val="000000"/>
          <w:sz w:val="24"/>
          <w:szCs w:val="24"/>
        </w:rPr>
        <w:t xml:space="preserve">The concept which is known today as ’political nation’ appeared in 18th century France, referring to a group based on a common political constitution and equality before law, possessing sovereignty over its own territory. Creating political unity and equality in France brought about the supremacy of the French language, which was followed by impairing or even abolishing the linguistic rights of those speaking dialects and the autochthon minorities (Basques, Bretons, Alsatians, Corsicans, Catalans and Occitans). Nevertheless, particular identities survived in a restricted form, an example being the language of the Occitan minority.</w:t>
      </w:r>
    </w:p>
    <w:p>
      <w:pPr>
        <w:pBdr/>
        <w:spacing w:before="240" w:after="240" w:line="240" w:lineRule="auto"/>
        <w:ind w:left="0" w:right="0"/>
        <w:jc w:val="left"/>
      </w:pPr>
      <w:r>
        <w:rPr>
          <w:color w:val="000000"/>
          <w:sz w:val="24"/>
          <w:szCs w:val="24"/>
        </w:rPr>
        <w:t xml:space="preserve">In my presentation, following a brief description of the French concept of ’nation’, I will describe the ethnic and language policies of France. I will talk about both the assimilation measures since 1789 and their loosening after 1945. Among the changes, a special emphasis is put on the minority protection enshrined in the Charter of Fundamental Rights of the European Union, which has had the same legal effect as the treaties of the organisation, since 2009.</w:t>
      </w:r>
    </w:p>
    <w:p>
      <w:pPr>
        <w:pBdr/>
        <w:spacing w:before="240" w:after="240" w:line="240" w:lineRule="auto"/>
        <w:ind w:left="0" w:right="0"/>
        <w:jc w:val="left"/>
      </w:pPr>
      <w:r>
        <w:rPr>
          <w:color w:val="000000"/>
          <w:sz w:val="24"/>
          <w:szCs w:val="24"/>
        </w:rPr>
        <w:t xml:space="preserve">Moreover, I intend to describe the activities and the ideology of the four more significant Occitan political groups, including three political parties and the Initiative for Occitania (Iniciativa per Occitània). I will shed light on their similarities and differences, underlining the repercussions of these as well.</w:t>
      </w:r>
    </w:p>
    <w:p>
      <w:pPr>
        <w:pBdr/>
        <w:spacing w:before="240" w:after="240" w:line="240" w:lineRule="auto"/>
        <w:ind w:left="0" w:right="0"/>
        <w:jc w:val="left"/>
      </w:pPr>
      <w:r>
        <w:rPr>
          <w:color w:val="000000"/>
          <w:sz w:val="24"/>
          <w:szCs w:val="24"/>
        </w:rPr>
        <w:t xml:space="preserve">The aim of my presentation is to answer the question whether the double vertical pressure, that is, the norms of the European Union and the subnational Occitan nationalism, may or may not result in the creation of an Occitan autonomous territory within France, or a new independent state in Europe.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63684">
    <w:multiLevelType w:val="hybridMultilevel"/>
    <w:lvl w:ilvl="0" w:tplc="15935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63684">
    <w:abstractNumId w:val="490636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8537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