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MESZAROS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Tamasi</w:t>
            </w:r>
          </w:p>
          <w:p w:rsidR="00DB4822" w:rsidRDefault="00DB4822" w:rsidP="00E11062">
            <w:pPr>
              <w:pStyle w:val="Konzulensek"/>
            </w:pPr>
            <w:r w:rsidRPr="00DB4822">
              <w:t>senior research fellow,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effect of the violence in the media on the children</w:t>
      </w:r>
    </w:p>
    <w:p w:rsidR="00D71DF5" w:rsidRDefault="00D71DF5" w:rsidP="00AD2602">
      <w:pPr>
        <w:jc w:val="both"/>
      </w:pPr>
    </w:p>
    <w:p>
      <w:pPr>
        <w:pBdr/>
        <w:spacing w:before="240" w:after="240" w:line="240" w:lineRule="auto"/>
        <w:ind w:left="0" w:right="0"/>
        <w:jc w:val="left"/>
      </w:pPr>
      <w:r>
        <w:rPr>
          <w:color w:val="000000"/>
          <w:sz w:val="24"/>
          <w:szCs w:val="24"/>
        </w:rPr>
        <w:t xml:space="preserve">Does the violence in the media effect its viewers? Do they get more violent? If yes, is it the case with all of us?</w:t>
      </w:r>
    </w:p>
    <w:p>
      <w:pPr>
        <w:pBdr/>
        <w:spacing w:before="240" w:after="240" w:line="240" w:lineRule="auto"/>
        <w:ind w:left="0" w:right="0"/>
        <w:jc w:val="left"/>
      </w:pPr>
      <w:r>
        <w:rPr>
          <w:color w:val="000000"/>
          <w:sz w:val="24"/>
          <w:szCs w:val="24"/>
        </w:rPr>
        <w:t xml:space="preserve">Everyone we know has an opinion about the issue. But opinions are not sufficient. No matter how we answer these questions, the main point is, whether we can prove it somehow. This is the real goal of my thesis, with analysing every aspect of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30893">
    <w:multiLevelType w:val="hybridMultilevel"/>
    <w:lvl w:ilvl="0" w:tplc="97892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30893">
    <w:abstractNumId w:val="85130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80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