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BABOTH SZILVIA</w:t>
            </w:r>
          </w:p>
          <w:p w:rsidR="00C275A3" w:rsidRDefault="00A96AEC" w:rsidP="00C275A3">
            <w:pPr>
              <w:pStyle w:val="Hallgatokepzes"/>
            </w:pPr>
            <w:r>
              <w:t>jogász</w:t>
            </w:r>
            <w:r>
              <w:br/>
            </w:r>
            <w:r w:rsidR="00E77B23">
              <w:t>Osztatlan, 11. félév</w:t>
            </w:r>
          </w:p>
          <w:p w:rsidR="00C265CE" w:rsidRPr="009E5FF1" w:rsidRDefault="00E77B23" w:rsidP="00C275A3">
            <w:pPr>
              <w:pStyle w:val="Hallgatokepzes"/>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Raffai Katalin</w:t>
            </w:r>
          </w:p>
          <w:p w:rsidR="00DB4822" w:rsidRDefault="00DB4822" w:rsidP="00E11062">
            <w:pPr>
              <w:pStyle w:val="Konzulensek"/>
            </w:pPr>
            <w:r w:rsidRPr="00DB4822">
              <w:t>egyetemi docens,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egységes jogértelmezés hiányának leképeződése a CMR felelősségi szabályainak a rendszerében - Kérdések és válaszok az Egyezmény jövőjét illetően -</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     A dolgozatom választott témája egyrészt egy főként Németországban végzett forrásgyűjtésem, másrészt egy nemzetközi szállítmányozási cégnél szerzett tapasztalataimnak az eredménye.</w:t>
      </w:r>
      <w:r>
        <w:rPr>
          <w:color w:val="000000"/>
          <w:sz w:val="24"/>
          <w:szCs w:val="24"/>
        </w:rPr>
        <w:br/>
        <w:t xml:space="preserve">A jelen munkám célja, hogy bemutassa és elemezze a nemzetközi közúti árufuvarozási szerződést elsősorban a magyar és a német joggyakorlat alapján, valamint az Egyezmény legfőbb eredményeit, hiányosságait és a továbblépés lehetőségeit.</w:t>
      </w:r>
      <w:r>
        <w:rPr>
          <w:color w:val="000000"/>
          <w:sz w:val="24"/>
          <w:szCs w:val="24"/>
        </w:rPr>
        <w:br/>
        <w:t xml:space="preserve">     A fuvarozási szerződés a nemzetközi kereskedelmi forgalom talán legmeghatározóbb szerződés típusává vált napjainkra. Valójában tehát egy magánjogi szabályokkal lefedett növekedő gazdasági szektorról van szó. Az Egyezmény minden olyan szerződésre érvényes, amely áruknak közúton járművel díj ellenében végzett szállításáról szól, ha az áru átvételének helye és a kiszolgáltatásra kijelölt hely két különböző állam területén van, amelyek közül legalább az egyik szerződő állam.</w:t>
      </w:r>
      <w:r>
        <w:rPr>
          <w:color w:val="000000"/>
          <w:sz w:val="24"/>
          <w:szCs w:val="24"/>
        </w:rPr>
        <w:br/>
        <w:t xml:space="preserve">Az Egyezmény egyre növekedő alkalmazást követel magának: valamennyi Magyarországból kiinduló és valamely szerződő vagy nem szerződő államba irányuló fuvarozásra, illetőleg fordítva, a CMR irányadó.</w:t>
      </w:r>
      <w:r>
        <w:rPr>
          <w:color w:val="000000"/>
          <w:sz w:val="24"/>
          <w:szCs w:val="24"/>
        </w:rPr>
        <w:br/>
        <w:t xml:space="preserve">     Az Egyezmény megalkotásával a nemzetközi szintű jogegységesítést kívánták megvalósítani, elsősorban a fuvarlevél és a fuvarozó felelősségének a vonatkozásában. Az Egyezmény figyelemre méltóan stabil nemzetközi szerződés, nehezen módosítható, – amely ugyan gátat jelenthet további jogegységesítési kísérleteknek – de egyrészt képes befolyásolni tagjainak nemzeti jogrendszerét, másrészt a tagállamok nemzeti jogára is támaszkodik alkalmazásában, mivel a CMR-nek megvan az a kiváló tulajdonsága, hogy a felbukkanó joghézagai által a felmerülő jogeseteket bonyolulttá tegye. A jogalkalmazás ezúton lépcsőzetessé válik, az egységes, nemzetközi jogot megtörve.</w:t>
      </w:r>
      <w:r>
        <w:rPr>
          <w:color w:val="000000"/>
          <w:sz w:val="24"/>
          <w:szCs w:val="24"/>
        </w:rPr>
        <w:br/>
        <w:t xml:space="preserve">     Összefoglalva megállapíthatom, hogy az Egyezmény mögött ott állnak az egyes nemzeti jogi kultúrák, amely azt vetíti előre, hogy Magyarországon is bőségesebb szakirodalomra lenne szükség, egységes magyarázatokkal és jogi nézőpontokkal, amely a jogászok, bíróságok és magánszemélyek munkáját is nagymértékben elősegítené. Ezt alátámasztja, hogy rendkívül nagyszámú jogeset jut el a legfelsőbb bíróságig. Végső értelmezést Magyarországon ugyanis a Kúria gyakorlata képvisel. Mivel egyes kérdéseire az Egyezmény, más kérdéseire a nemzeti jog irányadó, ezért alkalmazásának bonyolultsága folytán is igényli az egységes jogértelmezést.</w:t>
      </w:r>
      <w:r>
        <w:rPr>
          <w:color w:val="000000"/>
          <w:sz w:val="24"/>
          <w:szCs w:val="24"/>
        </w:rPr>
        <w:br/>
        <w:t xml:space="preserve">     Egy olyan terület bemutatására vállalkoztam tehát, ami természetéből fakadóan egy egész könyv tartalmát képezhetné.</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82543">
    <w:multiLevelType w:val="hybridMultilevel"/>
    <w:lvl w:ilvl="0" w:tplc="10131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82543">
    <w:abstractNumId w:val="650825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0689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