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SZILVIA BABOTH</w:t>
            </w:r>
          </w:p>
          <w:p w:rsidR="00C275A3" w:rsidRDefault="00A96AEC" w:rsidP="00C275A3">
            <w:pPr>
              <w:pStyle w:val="Hallgatokepzes"/>
            </w:pPr>
            <w:r>
              <w:t>Faculty of Law</w:t>
            </w:r>
            <w:r>
              <w:br/>
            </w:r>
            <w:r w:rsidR="00E77B23">
              <w:t>Unified, 11. semester</w:t>
            </w:r>
          </w:p>
          <w:p w:rsidR="00C265CE" w:rsidRPr="009E5FF1" w:rsidRDefault="00E77B23" w:rsidP="00C275A3">
            <w:pPr>
              <w:pStyle w:val="Hallgatokepzes"/>
              <w:rPr>
                <w:b/>
                <w:caps/>
              </w:rPr>
            </w:pPr>
            <w:r>
              <w:t>Pázmány Péter Catholic University</w:t>
            </w:r>
            <w:r w:rsidR="00C275A3">
              <w:br/>
            </w:r>
            <w:r w:rsidR="00DB4822">
              <w:t>Faculty of Law and Political Sciences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Katalin Raffai</w:t>
            </w:r>
          </w:p>
          <w:p w:rsidR="00DB4822" w:rsidRDefault="00DB4822" w:rsidP="00E11062">
            <w:pPr>
              <w:pStyle w:val="Konzulensek"/>
            </w:pPr>
            <w:r w:rsidRPr="00DB4822">
              <w:t>associate professor, PPKE JÁK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Reflection of the unified statutory interpretation in the system of the CMR Convention’s regulations of liability - Questions and answers regarding the future of this Convention -</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     The chosen topic of my work is the result of a source gathering pursued in Germany and the experience acquired at an international logistic company.</w:t>
      </w:r>
      <w:r>
        <w:rPr>
          <w:color w:val="000000"/>
          <w:sz w:val="24"/>
          <w:szCs w:val="24"/>
        </w:rPr>
        <w:br/>
        <w:t xml:space="preserve">The aim of my present work is to introduce and construe the international carriage of goods by road primarily according to the Hungarian and German legal practice, as well as the supreme results, shortcomings and the possibilities of further progress of the Convention.</w:t>
      </w:r>
      <w:r>
        <w:rPr>
          <w:color w:val="000000"/>
          <w:sz w:val="24"/>
          <w:szCs w:val="24"/>
        </w:rPr>
        <w:br/>
        <w:t xml:space="preserve">     By this time the carriage contract has perhaps become the most dominant type of contract in the international commercial trade. In fact, this is about the increasing economic sector, which is covered by civil law statutes. The Convention is legally binding for all contracts if the place of the receipt of goods and the place designated for delivery are situated in two different countries of which at least one is a contracting country.</w:t>
      </w:r>
      <w:r>
        <w:rPr>
          <w:color w:val="000000"/>
          <w:sz w:val="24"/>
          <w:szCs w:val="24"/>
        </w:rPr>
        <w:br/>
        <w:t xml:space="preserve">The Convention demands increasing enforcement: CMR is authoritative for all carriages which depart from or arrive to Hungary from or to a contracting country or a non-contracting country.</w:t>
      </w:r>
      <w:r>
        <w:rPr>
          <w:color w:val="000000"/>
          <w:sz w:val="24"/>
          <w:szCs w:val="24"/>
        </w:rPr>
        <w:br/>
        <w:t xml:space="preserve">     The aim of constituting the Convention was to implement legal unification on an international level, primarily concerning the consignment note and the liability of the conveyor. The Convention is a noticeably stable international treaty, which is hard to be modified, - which can hinder further attempts for the unification - but on the one hand, it can influence the national law system of contracting parties and on the other hand, it is supported by the national law of the member states, since CMR has such a prominent quality that because of its shortcomings, which can make the law cases difficult.</w:t>
      </w:r>
      <w:r>
        <w:rPr>
          <w:color w:val="000000"/>
          <w:sz w:val="24"/>
          <w:szCs w:val="24"/>
        </w:rPr>
        <w:br/>
        <w:t xml:space="preserve">     I can sum up that some national law cultures are at the back of the Convention which forecast that richer vocational bibliography with unified explanations and legal aspects would be necessary in Hungary, too. This could largely contribute to the work of lawyers, courts and private persons. This is supported by the fact that numerous law cases get to the supreme court. Namely the practice of Curia represents the final interpretation in Hungary. Since for some questions the CMR, while for some others the national law is authoritative, the complicated enforcement makes it necessary to have a unified statutory interpretation.</w:t>
      </w:r>
      <w:r>
        <w:rPr>
          <w:color w:val="000000"/>
          <w:sz w:val="24"/>
          <w:szCs w:val="24"/>
        </w:rPr>
        <w:br/>
        <w:t xml:space="preserve">So I intend to introduce such a complex part of the law system which for itself could serve as the topic of an entire book.</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4428522">
    <w:multiLevelType w:val="hybridMultilevel"/>
    <w:lvl w:ilvl="0" w:tplc="13107528">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4428522">
    <w:abstractNumId w:val="6442852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26820059"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