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BALOGH</w:t>
            </w:r>
          </w:p>
          <w:p w:rsidR="00C275A3" w:rsidRDefault="00A96AEC" w:rsidP="00C275A3">
            <w:pPr>
              <w:pStyle w:val="Hallgatokepzes"/>
            </w:pPr>
            <w:r>
              <w:t>law specialization</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Ede János Szilágyi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environmental issues of the attorney's job - especially the administrative and the civil jurisdiction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Environmental protection is one of today's fastest growing importance themes, which undoubtedly fights increasing role for itself. Occurred changes and thereafter expected ones in our living space warn us not be enough to deal with the protection of our environment.</w:t>
      </w:r>
    </w:p>
    <w:p>
      <w:pPr>
        <w:pBdr/>
        <w:spacing w:before="240" w:after="240" w:line="240" w:lineRule="auto"/>
        <w:ind w:left="0" w:right="0"/>
        <w:jc w:val="left"/>
      </w:pPr>
      <w:r>
        <w:rPr>
          <w:color w:val="000000"/>
          <w:sz w:val="24"/>
          <w:szCs w:val="24"/>
        </w:rPr>
        <w:t xml:space="preserve">The prosecutors sizing their legal opportunities have considered the environmental prosecutor’s duties with high priority since years. In my study I wish to analyze and introduce this even less well-known but more significance work.</w:t>
      </w:r>
    </w:p>
    <w:p>
      <w:pPr>
        <w:pBdr/>
        <w:spacing w:before="240" w:after="240" w:line="240" w:lineRule="auto"/>
        <w:ind w:left="0" w:right="0"/>
        <w:jc w:val="left"/>
      </w:pPr>
      <w:r>
        <w:rPr>
          <w:color w:val="000000"/>
          <w:sz w:val="24"/>
          <w:szCs w:val="24"/>
        </w:rPr>
        <w:t xml:space="preserve">The most important question is to know from which legislations the criminal-, the administrative and the civil jurisdictions ensure their environmental tasks.</w:t>
      </w:r>
    </w:p>
    <w:p>
      <w:pPr>
        <w:pBdr/>
        <w:spacing w:before="240" w:after="240" w:line="240" w:lineRule="auto"/>
        <w:ind w:left="0" w:right="0"/>
        <w:jc w:val="left"/>
      </w:pPr>
      <w:r>
        <w:rPr>
          <w:color w:val="000000"/>
          <w:sz w:val="24"/>
          <w:szCs w:val="24"/>
        </w:rPr>
        <w:t xml:space="preserve">I aim to expound the latter two activities in more details through practical examples and jurisprudences. My research is framed around the answering of the following major issues: the issue of jurisdictional cooperation, specific problems due to the characteristics of the environment protection, cooperation with the courts and wider information of the public.</w:t>
      </w:r>
    </w:p>
    <w:p>
      <w:pPr>
        <w:pBdr/>
        <w:spacing w:before="240" w:after="240" w:line="240" w:lineRule="auto"/>
        <w:ind w:left="0" w:right="0"/>
        <w:jc w:val="left"/>
      </w:pPr>
      <w:r>
        <w:rPr>
          <w:color w:val="000000"/>
          <w:sz w:val="24"/>
          <w:szCs w:val="24"/>
        </w:rPr>
        <w:t xml:space="preserve">I demonstrate the applicable prosecutorial methods, available means and the problems arising in practice. I discuss in a separate chapter the practice of other European prosecution, the foreign solutions, differences, referring to the institution of the environmental prosecutor.</w:t>
      </w:r>
    </w:p>
    <w:p>
      <w:pPr>
        <w:pBdr/>
        <w:spacing w:before="240" w:after="240" w:line="240" w:lineRule="auto"/>
        <w:ind w:left="0" w:right="0"/>
        <w:jc w:val="left"/>
      </w:pPr>
      <w:r>
        <w:rPr>
          <w:color w:val="000000"/>
          <w:sz w:val="24"/>
          <w:szCs w:val="24"/>
        </w:rPr>
        <w:t xml:space="preserve">I present an environmental comparison based on practical experiences in Szabolcs-Szatmár-Bereg county and Borsod-Abaúj-Zemplén county (having the nationally largest caseload) beside the capital city.</w:t>
      </w:r>
    </w:p>
    <w:p>
      <w:pPr>
        <w:pBdr/>
        <w:spacing w:before="240" w:after="240" w:line="240" w:lineRule="auto"/>
        <w:ind w:left="0" w:right="0"/>
        <w:jc w:val="left"/>
      </w:pPr>
      <w:r>
        <w:rPr>
          <w:color w:val="000000"/>
          <w:sz w:val="24"/>
          <w:szCs w:val="24"/>
        </w:rPr>
        <w:t xml:space="preserve">As a result of my research, I try to summarize the recommendations given to the most important problems and the necessary changes – mentioned the results and the lack of this extremely important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37809">
    <w:multiLevelType w:val="hybridMultilevel"/>
    <w:lvl w:ilvl="0" w:tplc="35394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37809">
    <w:abstractNumId w:val="37337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417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