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MAKSÓ</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Majtényi</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Unenforced guarantees? - Limited disclosure of decision-making documents 
</w:t>
      </w:r>
    </w:p>
    <w:p w:rsidR="00D71DF5" w:rsidRDefault="00D71DF5" w:rsidP="00AD2602">
      <w:pPr>
        <w:jc w:val="both"/>
      </w:pPr>
    </w:p>
    <w:p>
      <w:pPr>
        <w:pBdr/>
        <w:spacing w:before="240" w:after="240" w:line="240" w:lineRule="auto"/>
        <w:ind w:left="0" w:right="0"/>
        <w:jc w:val="left"/>
      </w:pPr>
      <w:r>
        <w:rPr>
          <w:color w:val="000000"/>
          <w:sz w:val="24"/>
          <w:szCs w:val="24"/>
        </w:rPr>
        <w:t xml:space="preserve">Undisputedly, a perfect world can only be conceived of as an information society, so not only active social participation but also everyday life requires conscious behaviour of information self-determination. The basic philosophy of information rights is to make the state transparent and its citizens not transparent. Freedom of information, as a constitutionally declared fundamental right and a guarantee of democratic regimes, is one of the most effective ways of making this principle prevail, thus it can become an enforceable right to take democratic control over the state. What happens, when this guarantee becomes unenforced because of a permission derived from paragraphs of an act?</w:t>
      </w:r>
    </w:p>
    <w:p>
      <w:pPr>
        <w:pBdr/>
        <w:spacing w:before="240" w:after="240" w:line="240" w:lineRule="auto"/>
        <w:ind w:left="0" w:right="0"/>
        <w:jc w:val="left"/>
      </w:pPr>
      <w:r>
        <w:rPr>
          <w:color w:val="000000"/>
          <w:sz w:val="24"/>
          <w:szCs w:val="24"/>
        </w:rPr>
        <w:t xml:space="preserve">This paper lays the emphasis on the limited disclosure of decision-making documents, on a narrow, but significant field of freedom of information. Within discretional power certain documents can be acknowledged as decision-making documents for internal use thus they are can be refused to disclose. In addition it still raises debates and practise acts differently to find the satisfactory limit of secrecy and disclosure of these document which are for protecting the uninfluenced work of state organs. Lawsuits, opinions of recognized experts and decision-makers will be compared, although this examination is not exhaustive. Comparing international statutes will focus on differences and similarities with the domestic one in order to provide true conclusions.</w:t>
      </w:r>
    </w:p>
    <w:p>
      <w:pPr>
        <w:pBdr/>
        <w:spacing w:before="240" w:after="240" w:line="240" w:lineRule="auto"/>
        <w:ind w:left="0" w:right="0"/>
        <w:jc w:val="left"/>
      </w:pPr>
      <w:r>
        <w:rPr>
          <w:color w:val="000000"/>
          <w:sz w:val="24"/>
          <w:szCs w:val="24"/>
        </w:rPr>
        <w:t xml:space="preserve">In conclusion finding and maintaining the sensitive balance between publicity and secrecy is really tough. Putting the emphasis on the complexity of this issue it is required to make conscious efforts to find the best solutions case by case.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12288">
    <w:multiLevelType w:val="hybridMultilevel"/>
    <w:lvl w:ilvl="0" w:tplc="359209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12288">
    <w:abstractNumId w:val="294122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16060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