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MAKSÓ</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Majtényi</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Unenforced guarantees? - Limited disclosure of decision-making documents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Undisputedly, a perfect world can only be conceived of as an information society, so not only active social participation but also everyday life requires conscious behaviour of information self-determination. The basic philosophy of information rights is to make the state transparent and its citizens not transparent. Freedom of information, as a constitutionally declared fundamental right and a guarantee of democratic regimes, is one of the most effective ways of making this principle prevail, thus it can become an enforceable right to take democratic control over the state. What happens, when this guarantee becomes unenforced because of a permission derived from paragraphs of an act?</w:t>
      </w:r>
    </w:p>
    <w:p>
      <w:pPr>
        <w:pBdr/>
        <w:spacing w:before="240" w:after="240" w:line="240" w:lineRule="auto"/>
        <w:ind w:left="0" w:right="0"/>
        <w:jc w:val="left"/>
      </w:pPr>
      <w:r>
        <w:rPr>
          <w:color w:val="000000"/>
          <w:sz w:val="24"/>
          <w:szCs w:val="24"/>
        </w:rPr>
        <w:t xml:space="preserve">This paper lays the emphasis on the limited disclosure of decision-making documents, on a narrow, but significant field of freedom of information. Within discretional power certain documents can be acknowledged as decision-making documents for internal use thus they are can be refused to disclose. In addition it still raises debates and practise acts differently to find the satisfactory limit of secrecy and disclosure of these document which are for protecting the uninfluenced work of state organs. Lawsuits, opinions of recognized experts and decision-makers will be compared, although this examination is not exhaustive. Comparing international statutes will focus on differences and similarities with the domestic one in order to provide true conclusions.</w:t>
      </w:r>
    </w:p>
    <w:p>
      <w:pPr>
        <w:pBdr/>
        <w:spacing w:before="240" w:after="240" w:line="240" w:lineRule="auto"/>
        <w:ind w:left="0" w:right="0"/>
        <w:jc w:val="left"/>
      </w:pPr>
      <w:r>
        <w:rPr>
          <w:color w:val="000000"/>
          <w:sz w:val="24"/>
          <w:szCs w:val="24"/>
        </w:rPr>
        <w:t xml:space="preserve">In conclusion finding and maintaining the sensitive balance between publicity and secrecy is really tough. Putting the emphasis on the complexity of this issue it is required to make conscious efforts to find the best solutions case by case.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12881">
    <w:multiLevelType w:val="hybridMultilevel"/>
    <w:lvl w:ilvl="0" w:tplc="10826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12881">
    <w:abstractNumId w:val="612128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70504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