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SOLTÉSZ</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Sántha Dr.</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tendencies of the drug-crime - The comparison of the Hungarian and German drug act</w:t>
      </w:r>
    </w:p>
    <w:p w:rsidR="00D71DF5" w:rsidRDefault="00D71DF5" w:rsidP="00AD2602">
      <w:pPr>
        <w:jc w:val="both"/>
      </w:pPr>
    </w:p>
    <w:p>
      <w:pPr>
        <w:pBdr/>
        <w:spacing w:before="240" w:after="240" w:line="240" w:lineRule="auto"/>
        <w:ind w:left="0" w:right="0"/>
        <w:jc w:val="left"/>
      </w:pPr>
      <w:r>
        <w:rPr>
          <w:color w:val="000000"/>
          <w:sz w:val="24"/>
          <w:szCs w:val="24"/>
        </w:rPr>
        <w:t xml:space="preserve">Society plays an important role in the socialization of the individuals and in forming of their values, that’s why it should represent a fine structure for the individuals in the course of their development, promoting the initiation of the appropriate style of living. Nowadays one of the central problems is the drugs abuse, which is an important question not only in our country, but in the world, also. Answers of this question given by the nations are different, but the common point in their attitudes is the criminilazation of the drugs crimes. Drugs crime is a problem all over the world, aplomb is needed both in national and international level. It should be seen that organised crime appeared in the side of consumers and bidders represent a different level of danger for the society. Zero tolerance policy against all types of drugs crime is an exaggeration, because it regard dope fiends as simple criminals. On the other hand criminal law is only one part of the appropriate handling of the problem. The main direction of a state’s drugs policy should be prevention and treatment, which is made uniform by the criminalization of drugs crime.There are several models for handling of drugs problems, but none of them can entirely eliminate the evolution of drugs crimes. It can not be accounted for only the imperfection of treatment models but for social problems. According to it, drugs need a permanent and effective aplomb by the authorities and if it is realised, crime based on it can be more limitable. In my studies I highlighted the international examination of the history of drugs crime, while for the 1970’s the legal regulation meant mainly the ratification of international treaties and contracts in Hungary. In the regard of drugs trafficking, Hungary is partly a country of destination, partly a country of transit, that’s why it is very important for us a successful aplomb against this problem.Compared with Hungarian and German regulation it can be found, that in the definition of committal conducts the regulation is similar, which refers to the kindrid of drugs crime.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67929">
    <w:multiLevelType w:val="hybridMultilevel"/>
    <w:lvl w:ilvl="0" w:tplc="51737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67929">
    <w:abstractNumId w:val="72967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374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