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TOMA</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Gula Dr.</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the Field of Legitimate Self-Defense - Expanding the Borders of the Right of Defense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regulation of the legitimate self-defense has undergone great changes lately, which was justified, in my opinion, by the development of society, the moral judgment about the situation of the legitimate self-defense of the members of the society.</w:t>
      </w:r>
      <w:r>
        <w:rPr>
          <w:color w:val="000000"/>
          <w:sz w:val="24"/>
          <w:szCs w:val="24"/>
        </w:rPr>
        <w:br/>
        <w:t xml:space="preserve">The aim of my research to show how they have changed the borders of the defensive law insured to be attacked by the state after coming into force of the 2009th Act LXXX.</w:t>
      </w:r>
      <w:r>
        <w:rPr>
          <w:color w:val="000000"/>
          <w:sz w:val="24"/>
          <w:szCs w:val="24"/>
        </w:rPr>
        <w:br/>
        <w:t xml:space="preserve">In summary, we can notice those principles dominates increasingly, against the previous regulations, which say the law should be aware of the interests of the defensive primarily, and because of it, more and more possibilities are given to develop their protective actions.</w:t>
      </w:r>
      <w:r>
        <w:rPr>
          <w:color w:val="000000"/>
          <w:sz w:val="24"/>
          <w:szCs w:val="24"/>
        </w:rPr>
        <w:br/>
        <w:t xml:space="preserve">Mainly the domestic criminal law and practice were based on in the present work; moreover, the legitimate self-defense will be presented in the light of the German legal system in a dedicated chapter concerning the main features of statutory definition coming into force in Austria.</w:t>
      </w:r>
      <w:r>
        <w:rPr>
          <w:color w:val="000000"/>
          <w:sz w:val="24"/>
          <w:szCs w:val="24"/>
        </w:rPr>
        <w:br/>
        <w:t xml:space="preserve">With the processing of the related domestic literature I have aimed to describe the legitimate security situation as well as the related problems and current issues, to review the opportunities provided by the new laws.</w:t>
      </w:r>
      <w:r>
        <w:rPr>
          <w:color w:val="000000"/>
          <w:sz w:val="24"/>
          <w:szCs w:val="24"/>
        </w:rPr>
        <w:br/>
        <w:t xml:space="preserve">With the help of the thematic papers – books, studies, articles published in journals –processing and evaluating the wide range of judicial practice I want to point out the importance of the institution of the legitimate self-defense, but also the questionable nature of the specific cases, which comes from the problem of their unclear judgment.</w:t>
      </w:r>
      <w:r>
        <w:rPr>
          <w:color w:val="000000"/>
          <w:sz w:val="24"/>
          <w:szCs w:val="24"/>
        </w:rPr>
        <w:br/>
        <w:t xml:space="preserve">At the end of my study I summarize the most proposed solution according to me as a result of my research, thereafter I try to give a comprehensive picture of my opinion created about the whole institution of the legitimate self-defense which was formed and evolved during the immersion in this research.</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70958">
    <w:multiLevelType w:val="hybridMultilevel"/>
    <w:lvl w:ilvl="0" w:tplc="67197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70958">
    <w:abstractNumId w:val="87270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35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