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BÉRES ATTILA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Kirs Eszter</w:t>
            </w:r>
          </w:p>
          <w:p w:rsidR="00DB4822" w:rsidRDefault="00DB4822" w:rsidP="00E11062">
            <w:pPr>
              <w:pStyle w:val="Konzulensek"/>
            </w:pPr>
            <w:r w:rsidRPr="00DB4822">
              <w:t>egy.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immunitás jogintézménye a nemzetközi közjogban, különös tekintettel az államfők immunitására</w:t>
      </w:r>
    </w:p>
    <w:p w:rsidR="00D71DF5" w:rsidRDefault="00D71DF5" w:rsidP="00AD2602">
      <w:pPr>
        <w:jc w:val="both"/>
      </w:pPr>
    </w:p>
    <w:p>
      <w:pPr>
        <w:pBdr/>
        <w:spacing w:before="240" w:after="240" w:line="240" w:lineRule="auto"/>
        <w:ind w:left="0" w:right="0"/>
        <w:jc w:val="left"/>
      </w:pPr>
      <w:r>
        <w:rPr>
          <w:color w:val="000000"/>
          <w:sz w:val="24"/>
          <w:szCs w:val="24"/>
        </w:rPr>
        <w:t xml:space="preserve">Az államok belső jogában létező mentelmi joghoz hasonlatos jogintézmény a nemzetközi közjogban fellelhető immunitás. A két jogintézmény nagyvonalakban ugyanolyan joghatás kiváltására – vagy bizonyos jogi természetű események kizárására – alkalmas, ám részleteikbe menően különböznek egymástól.</w:t>
      </w:r>
    </w:p>
    <w:p>
      <w:pPr>
        <w:pBdr/>
        <w:spacing w:before="240" w:after="240" w:line="240" w:lineRule="auto"/>
        <w:ind w:left="0" w:right="0"/>
        <w:jc w:val="left"/>
      </w:pPr>
      <w:r>
        <w:rPr>
          <w:color w:val="000000"/>
          <w:sz w:val="24"/>
          <w:szCs w:val="24"/>
        </w:rPr>
        <w:t xml:space="preserve">Dolgozatomban arra a kérdésre keresem a választ, hogy az államfőknek biztosított nemzetközi jogi immunitás milyen forrásokból ered, milyen célt szolgál, és milyen módon realizálódik a konkrét jogesetekben. Ahhoz, hogy az államfői immunitást értelmezzük és megismerjük, szót kell ejteni a részleteiben szabályozott diplomáciai és konzuli mentességgel közös aspektusairól, valamint az állam magas rangú tisztviselőit megillető immunitásról is. Az állam tisztviselőit és az államfőket megillető immunitás két, sokban hasonló jogintézmény, és annak eldöntése, hogy e személyek büntetőjogi felelőssége miként állapítható meg, véleményem szerint egy kiemelkedő jelentőségű és izgalmas kérdést jelent. </w:t>
      </w:r>
    </w:p>
    <w:p>
      <w:pPr>
        <w:pBdr/>
        <w:spacing w:before="240" w:after="240" w:line="240" w:lineRule="auto"/>
        <w:ind w:left="0" w:right="0"/>
        <w:jc w:val="left"/>
      </w:pPr>
      <w:r>
        <w:rPr>
          <w:color w:val="000000"/>
          <w:sz w:val="24"/>
          <w:szCs w:val="24"/>
        </w:rPr>
        <w:t xml:space="preserve">Az abszolút állami szuverenitás tételéből eredő államfői sérthetetlenség tana a XXI. századra megdőlni látszik, hisz nyilvánvalóan léteznek olyan körülmények és esetek, mikor a törvény előtt egy hivatalban lévő vagy hivataláról leköszönt államfőt is terhelhet büntetőjogi felelősség. A nemzetközi büntetőjog fejlődésével a nemzetközi közösség eljutott arra a szintre, hogy olyan törvényszékeket hozzon létre, és olyan hatáskört biztosítson számukra, melyek révén egy büntetőjogi felelősséggel bíró államfő vád alá helyezése lehetséges. Mivel a nemzeti és nemzetközi bíróságok előtti eljárás komoly problémákat, ellene és mellette szóló érveket felvető témakör, ezért dolgozatomban igyekszem kimerítően bemutatni az immunitás elemeit, illetve a vizsgálatának esetlegesen eltérő szempontjait. Bár az államfői felelősség és immunitás gyakran politikai érdekekkel tarkított jogintézmények, dolgozatomban legfőképp a nemzetközi jogi mibenlétével foglalkoztam.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04099">
    <w:multiLevelType w:val="hybridMultilevel"/>
    <w:lvl w:ilvl="0" w:tplc="9965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04099">
    <w:abstractNumId w:val="41104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146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