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NÓRA RÓZSAHEGYI</w:t>
            </w:r>
          </w:p>
          <w:p w:rsidR="00C275A3" w:rsidRDefault="00A96AEC" w:rsidP="00C275A3">
            <w:pPr>
              <w:pStyle w:val="Hallgatokepzes"/>
            </w:pPr>
            <w:r>
              <w:t>Lawyer</w:t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Miskolc</w:t>
            </w:r>
            <w:r w:rsidR="00C275A3">
              <w:br/>
            </w:r>
            <w:r w:rsidR="00DB4822">
              <w:t>Faculty of Law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Andrea Nagy Dr.</w:t>
            </w:r>
          </w:p>
          <w:p w:rsidR="00DB4822" w:rsidRDefault="00DB4822" w:rsidP="00E11062">
            <w:pPr>
              <w:pStyle w:val="Konzulensek"/>
            </w:pPr>
            <w:r w:rsidRPr="00DB4822">
              <w:t>senior lecturer,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Indeed at the periphery of private law? - Appearance of the prosecutor in the suit and non-suit procedures</w:t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574239">
    <w:multiLevelType w:val="hybridMultilevel"/>
    <w:lvl w:ilvl="0" w:tplc="841318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574239">
    <w:abstractNumId w:val="105742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16794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