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RÓZSAHEGYI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Nagy Dr.</w:t>
            </w:r>
          </w:p>
          <w:p w:rsidR="00DB4822" w:rsidRDefault="00DB4822" w:rsidP="00E11062">
            <w:pPr>
              <w:pStyle w:val="Konzulensek"/>
            </w:pPr>
            <w:r w:rsidRPr="00DB4822">
              <w:t>senior lecturer,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Indeed at the periphery of private law? - Appearance of the prosecutor in the suit and non-suit procedures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prosecutor is not a party in a suit, who wants to be victorious at whatever circumstances against the counter-interest party, but he is person of that moral authority who researches and arrogates justice.” (Sándor Kozma) </w:t>
      </w:r>
    </w:p>
    <w:p>
      <w:pPr>
        <w:pBdr/>
        <w:spacing w:before="240" w:after="240" w:line="240" w:lineRule="auto"/>
        <w:ind w:left="0" w:right="0"/>
        <w:jc w:val="left"/>
      </w:pPr>
      <w:r>
        <w:rPr>
          <w:color w:val="000000"/>
          <w:sz w:val="24"/>
          <w:szCs w:val="24"/>
        </w:rPr>
        <w:t xml:space="preserve">Contact of the prosecution of department and the civil procedural law may not be considered as a usual relation, since this service – if we mention its constitutional position – its especially the charge function – managing service, not just in Hungary, but in the most democratic countries. Nevertheless can not we leave out of consideration the sphere of authority of prosecution service, that aspires to present right-protection to those people who are not able to effort their interest and in certain circumstances to initiate suit-procedure, further in non-suit procedures submit supervision on legal grounds for example in content with registered firms, foundations, associations and other social servises. In my study – near the discovery of the private law functions of the prosecutor I am looking for the answers that let us see what kind of reasons furnish a basis to the Constitutional Court for reducing these spheres of authority of the service, and whether we consider as sufficient - or too many, or at the other hand too few – the almost half-hundred special laws that declare the prosecutor’s opportunites to participate in the civil procedures. Further, the practical getting across procedural rights made of the subject of examination, and the realizing regulation in the European countries, as well including some debates and recommendations about the contingent further – or on the other way set aside – procedural opportunities. Because we can talk about a much debated field, it may be declared, the duties of prosecutions in the private law and administrative law are not negligible at all, since it protects numerous serious rights and interests according to the valid regulations.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86657">
    <w:multiLevelType w:val="hybridMultilevel"/>
    <w:lvl w:ilvl="0" w:tplc="58280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86657">
    <w:abstractNumId w:val="50586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927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