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FERENCZY</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Márta Jusztin</w:t>
            </w:r>
          </w:p>
          <w:p w:rsidR="00DB4822" w:rsidRDefault="00DB4822" w:rsidP="00E11062">
            <w:pPr>
              <w:pStyle w:val="Konzulensek"/>
            </w:pPr>
            <w:r w:rsidRPr="00DB4822">
              <w:t>professor, BGF KVIK</w:t>
            </w:r>
          </w:p>
        </w:tc>
      </w:tr>
      <w:tr w:rsidR="00DB4822" w:rsidTr="00DB4822">
        <w:tc>
          <w:tcPr>
            <w:tcW w:w="9854" w:type="dxa"/>
          </w:tcPr>
          <w:p w:rsidR="00DB4822" w:rsidRPr="00DB4822" w:rsidRDefault="00DB4822" w:rsidP="004D7940">
            <w:pPr>
              <w:pStyle w:val="Konzulensek"/>
            </w:pPr>
            <w:r w:rsidRPr="00DB4822">
              <w:t>Mrs Kovács dr Ilona Székely</w:t>
            </w:r>
          </w:p>
          <w:p w:rsidR="00DB4822" w:rsidRDefault="00DB4822" w:rsidP="00E11062">
            <w:pPr>
              <w:pStyle w:val="Konzulensek"/>
            </w:pPr>
            <w:r w:rsidRPr="00DB4822">
              <w:t>associate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Touristic Exploitation of the Intangible Cultural Heitage in the Light of the UNESCO Convention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What comes first into your mind if I say World Heritage? Aggtelek, Tokaj, Pannonhalma, the Alhambra, Lyon, Florence or Stonehenge? I might just as well continue the list. But what do we exactly think of when we speak of Intangible Cultural Heritage? The patron saint’s day of the neighbouring village? The herbs of auntie Julie? The Hungarian folk dance, the Matyó embroidery or the Busó Festivities in Mohács?</w:t>
      </w:r>
    </w:p>
    <w:p>
      <w:pPr>
        <w:pBdr/>
        <w:spacing w:before="240" w:after="240" w:line="240" w:lineRule="auto"/>
        <w:ind w:left="0" w:right="0"/>
        <w:jc w:val="left"/>
      </w:pPr>
      <w:r>
        <w:rPr>
          <w:color w:val="000000"/>
          <w:sz w:val="24"/>
          <w:szCs w:val="24"/>
        </w:rPr>
        <w:t xml:space="preserve">UNESCO made up a Convention in 2003 about the Safeguarding of the Intangible Cultural Heritage, similar to that about the World Heritage. An inventory was created for all those heritage elements, which are not tangible, but still define significantly a community’s identity and help protect cultural diversity. In this world of globalization every initiation which intends to support the unique, the special is worth for attention. UNESCO has also some recommendations on how this fragile heritage type can be safeguarded, what threats Intangible Heritage has to face and what possibilities it contains.</w:t>
      </w:r>
    </w:p>
    <w:p>
      <w:pPr>
        <w:pBdr/>
        <w:spacing w:before="240" w:after="240" w:line="240" w:lineRule="auto"/>
        <w:ind w:left="0" w:right="0"/>
        <w:jc w:val="left"/>
      </w:pPr>
      <w:r>
        <w:rPr>
          <w:color w:val="000000"/>
          <w:sz w:val="24"/>
          <w:szCs w:val="24"/>
        </w:rPr>
        <w:t xml:space="preserve">A maybe unusual way of safeguarding the heritage is tourism, which can seem controversial at first sight. This document has the aim to reveal the manysided connection between the Intangible Cultural Heritage and tourism, to show their mutual effects on each other by focusing on two concrete examples: the busó festivities in Mohács, Hungary and the Holy Blood Procession in Bruges, Belgium.</w:t>
      </w:r>
    </w:p>
    <w:p>
      <w:pPr>
        <w:pBdr/>
        <w:spacing w:before="240" w:after="240" w:line="240" w:lineRule="auto"/>
        <w:ind w:left="0" w:right="0"/>
        <w:jc w:val="left"/>
      </w:pPr>
      <w:r>
        <w:rPr>
          <w:color w:val="000000"/>
          <w:sz w:val="24"/>
          <w:szCs w:val="24"/>
        </w:rPr>
        <w:t xml:space="preserve">Basically, intangible heritage can appear as a touristic attraction in the area but the way it affects its environment is different in every single case. In some cases heritage is only a supplementary attraction among all the offers of an important touristic centre (Bruges), in other cases the town’s touristic attraction is based directly or indirectly on the heritage itself (Mohács). There is a need of distinct methods of tourism management in these two cases to a proper use and safeguarding of the heritage.</w:t>
      </w:r>
    </w:p>
    <w:p>
      <w:pPr>
        <w:pBdr/>
        <w:spacing w:before="240" w:after="240" w:line="240" w:lineRule="auto"/>
        <w:ind w:left="0" w:right="0"/>
        <w:jc w:val="left"/>
      </w:pPr>
      <w:r>
        <w:rPr>
          <w:color w:val="000000"/>
          <w:sz w:val="24"/>
          <w:szCs w:val="24"/>
        </w:rPr>
        <w:t xml:space="preserve">The sources of this document are brochures from the directory of the Hungarian UNESCO Secretariat, the touristic brochures of Mohács and Bruges, documents and articles on the cultural heritage tourism and heritage tourism. The primary researches consist of interviews with the organizers of the two events (Mr Csaba Vikár – Mohács, and Mr Benoit Kervyn – Bruges) and the elaborators of the UNESCO nominations (dr Eszter Csonka-Takács – Hungary, Mr Lothar Casteleyn and Rob Belemans – Belgium) and a series of questionnaires connected to both of the events.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07081">
    <w:multiLevelType w:val="hybridMultilevel"/>
    <w:lvl w:ilvl="0" w:tplc="85895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07081">
    <w:abstractNumId w:val="942070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651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