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BALOGH</w:t>
            </w:r>
          </w:p>
          <w:p w:rsidR="00C275A3" w:rsidRDefault="00A96AEC" w:rsidP="00C275A3">
            <w:pPr>
              <w:pStyle w:val="Hallgatokepzes"/>
            </w:pPr>
            <w:r>
              <w:t>International studies </w:t>
            </w:r>
            <w:r>
              <w:br/>
            </w:r>
            <w:r w:rsidR="00E77B23">
              <w:t>MA, 3.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Nyusztay CSc, PhD</w:t>
            </w:r>
          </w:p>
          <w:p w:rsidR="00DB4822" w:rsidRDefault="00DB4822" w:rsidP="00E11062">
            <w:pPr>
              <w:pStyle w:val="Konzulensek"/>
            </w:pPr>
            <w:r w:rsidRPr="00DB4822">
              <w:t>Professor of Budapest Business School,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manifestation of the French exception in the NATO politics of France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assignment deals with the French exception in the NATO-politics of France. Firstly, I examine the notion “exception française” as well as its manifestations in the history and culture of France.</w:t>
      </w:r>
    </w:p>
    <w:p>
      <w:pPr>
        <w:pBdr/>
        <w:spacing w:before="240" w:after="240" w:line="240" w:lineRule="auto"/>
        <w:ind w:left="0" w:right="0"/>
        <w:jc w:val="left"/>
      </w:pPr>
      <w:r>
        <w:rPr>
          <w:color w:val="000000"/>
          <w:sz w:val="24"/>
          <w:szCs w:val="24"/>
        </w:rPr>
        <w:t xml:space="preserve">In 1966 France quit the military structure of NATO but remained a member of this alliance. Various reasons led to this step which will discuss in the first part of my assignment. One of these reasons is the person general de Gaulle himself and his “grandeur” politics which fundamentally determined the French foreign policy for the next 20 years. The other major reason is that the American government didn’t support de Gaulle’s ideas either in the resistance during the World War II or later. For France the NATO symbolised the peculiar duality of the defence and dependence, the latter made de Gaulle decide to quit the military structure of the alliance.</w:t>
      </w:r>
    </w:p>
    <w:p>
      <w:pPr>
        <w:pBdr/>
        <w:spacing w:before="240" w:after="240" w:line="240" w:lineRule="auto"/>
        <w:ind w:left="0" w:right="0"/>
        <w:jc w:val="left"/>
      </w:pPr>
      <w:r>
        <w:rPr>
          <w:color w:val="000000"/>
          <w:sz w:val="24"/>
          <w:szCs w:val="24"/>
        </w:rPr>
        <w:t xml:space="preserve">After the break up, I analyse the reasons for the call-off, the politics of Pompidou, Giscard d’Estaing, Mitterrand and Chirac and their relations to NATO. We can observe a French approach to NATO during the 40 years as in case of armed conflict France supported its allied countries, however, it maintained its integrity (for example in the Irakian conflict it criticised the USA).</w:t>
      </w:r>
    </w:p>
    <w:p>
      <w:pPr>
        <w:pBdr/>
        <w:spacing w:before="240" w:after="240" w:line="240" w:lineRule="auto"/>
        <w:ind w:left="0" w:right="0"/>
        <w:jc w:val="left"/>
      </w:pPr>
      <w:r>
        <w:rPr>
          <w:color w:val="000000"/>
          <w:sz w:val="24"/>
          <w:szCs w:val="24"/>
        </w:rPr>
        <w:t xml:space="preserve">Nicolas Sarkozy felt that it was high time France reintegrated into the military structure of the North Atlantic Treaty Organization. The reasons of this reintegration - which can be read in the White Paper on defence - were criticized by several experts. They fear that France will lose its singularity. According to the government’s point of view, the French sovereignty is not damaged because free will dominates in the NATO. At the same time France does not return to the Nuclear Planning Group. All in all, we can say that this return is dubious because France does not come back totally into the alliance.</w:t>
      </w:r>
    </w:p>
    <w:p>
      <w:pPr>
        <w:pBdr/>
        <w:spacing w:before="240" w:after="240" w:line="240" w:lineRule="auto"/>
        <w:ind w:left="0" w:right="0"/>
        <w:jc w:val="left"/>
      </w:pPr>
      <w:r>
        <w:rPr>
          <w:color w:val="000000"/>
          <w:sz w:val="24"/>
          <w:szCs w:val="24"/>
        </w:rPr>
        <w:t xml:space="preserve">This paper is based on several scientific analysis, books, newspapers, papers issued by the French government, as well as French and Hungarian texts on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15197">
    <w:multiLevelType w:val="hybridMultilevel"/>
    <w:lvl w:ilvl="0" w:tplc="18380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15197">
    <w:abstractNumId w:val="21715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163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