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VÉCSEI</w:t>
            </w:r>
          </w:p>
          <w:p w:rsidR="00C275A3" w:rsidRDefault="00A96AEC" w:rsidP="00C275A3">
            <w:pPr>
              <w:pStyle w:val="Hallgatokepzes"/>
            </w:pPr>
            <w:r>
              <w:t>Land surveying and Land Managment Engineer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Geoinformatics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Verőné Dr. Wojtaszek Malgorzata</w:t>
            </w:r>
          </w:p>
          <w:p w:rsidR="00DB4822" w:rsidRDefault="00DB4822" w:rsidP="00E11062">
            <w:pPr>
              <w:pStyle w:val="Konzulensek"/>
            </w:pPr>
            <w:r w:rsidRPr="00DB4822">
              <w:t>reader in university, NYME GEO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the city vegetation with distance-based techniques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Social Renewal Operational Programme (Társadalmi Megújulás Operatív Programja, TÁMOP) research is the following: The complex analysis of the cities’ eco environment in the Western Transdanubia region. The purpose of this work is to analyse the regional growth of Szekesfehervar throughout the years, to study the spectral characteristics of the green areas in Szekesfehervar and to examine the proportion of the green area and the built-up area regarding the present inner area. Besides, I examined the different vegetation types and their ratios based on multispectral satellite shots typical for the different urban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14000">
    <w:multiLevelType w:val="hybridMultilevel"/>
    <w:lvl w:ilvl="0" w:tplc="54633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14000">
    <w:abstractNumId w:val="94214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649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