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DÉNES MOLNÁR</w:t>
            </w:r>
          </w:p>
          <w:p w:rsidR="00C275A3" w:rsidRDefault="00A96AEC" w:rsidP="00C275A3">
            <w:pPr>
              <w:pStyle w:val="Hallgatokepzes"/>
            </w:pPr>
            <w:r>
              <w:t>forestry engineering</w:t>
            </w:r>
            <w:r>
              <w:br/>
            </w:r>
            <w:r w:rsidR="00E77B23">
              <w:t>Unified, 9. semester</w:t>
            </w:r>
          </w:p>
          <w:p w:rsidR="00C265CE" w:rsidRPr="009E5FF1" w:rsidRDefault="00E77B23" w:rsidP="00C275A3">
            <w:pPr>
              <w:pStyle w:val="Hallgatokepzes"/>
              <w:rPr>
                <w:b/>
                <w:caps/>
              </w:rPr>
            </w:pPr>
            <w:r>
              <w:t>University of West Hungary</w:t>
            </w:r>
            <w:r w:rsidR="00C275A3">
              <w:br/>
            </w:r>
            <w:r w:rsidR="00DB4822">
              <w:t>Faculty of Forestry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Norbert Frank</w:t>
            </w:r>
          </w:p>
          <w:p w:rsidR="00DB4822" w:rsidRDefault="00DB4822" w:rsidP="00E11062">
            <w:pPr>
              <w:pStyle w:val="Konzulensek"/>
            </w:pPr>
            <w:r w:rsidRPr="00DB4822">
              <w:t>associate professor,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natural regrowth of the uneven-aged forest in Szászvár 39 F subcompartment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selection system became more and more widespread due to the close-to-nature forest management. The application of this system requires due foresight and further examination. Investigation of tree growth is one of the main issues in forest research. We placed our expreimental plots in Szászvár 39 F subcompartment which lies in the eastern region of the mountain range Mecsek. A special emphasis is being put on the analysis of natural regrowth. Species of regrowth are in interspecific and intraspecific competition. We examined relationship between competitive process, enviromental factors (biotic and abiotic) and silviculture. Examined datas (number of saplings, height and height growth of natural regrowth, browsing of saplings by large herbivores, basal-area of old stand) were used in the evaluations. From the reported studies we can draw as a conclusion, that the used silviculture system does not subserve the regeneration of light-demanding and game damage-intolerant tree species. This study tries to find a solution for this problem and present suggestions may help the practice.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61292">
    <w:multiLevelType w:val="hybridMultilevel"/>
    <w:lvl w:ilvl="0" w:tplc="74252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61292">
    <w:abstractNumId w:val="413612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39857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