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ERDŐ</w:t>
            </w:r>
          </w:p>
          <w:p w:rsidR="00C275A3" w:rsidRDefault="00A96AEC" w:rsidP="00C275A3">
            <w:pPr>
              <w:pStyle w:val="Hallgatokepzes"/>
            </w:pPr>
            <w:r>
              <w:t/>
            </w:r>
            <w:r>
              <w:br/>
            </w:r>
            <w:r w:rsidR="00E77B23">
              <w:t>BSc, 7. semester</w:t>
            </w:r>
          </w:p>
          <w:p w:rsidR="00C265CE" w:rsidRPr="009E5FF1" w:rsidRDefault="00E77B23" w:rsidP="00C275A3">
            <w:pPr>
              <w:pStyle w:val="Hallgatokepzes"/>
              <w:rPr>
                <w:b/>
                <w:caps/>
              </w:rPr>
            </w:pPr>
            <w:r>
              <w:t>University of West Hungary</w:t>
            </w:r>
            <w:r w:rsidR="00C275A3">
              <w:br/>
            </w:r>
            <w:r w:rsidR="00DB4822">
              <w:t>Faculty of Forestry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György Traser</w:t>
            </w:r>
          </w:p>
          <w:p w:rsidR="00DB4822" w:rsidRDefault="00DB4822" w:rsidP="00E11062">
            <w:pPr>
              <w:pStyle w:val="Konzulensek"/>
            </w:pPr>
            <w:r w:rsidRPr="00DB4822">
              <w:t>Associate professor, NYME EMK</w:t>
            </w:r>
          </w:p>
        </w:tc>
      </w:tr>
      <w:tr w:rsidR="00DB4822" w:rsidTr="00DB4822">
        <w:tc>
          <w:tcPr>
            <w:tcW w:w="9854" w:type="dxa"/>
          </w:tcPr>
          <w:p w:rsidR="00DB4822" w:rsidRPr="00DB4822" w:rsidRDefault="00DB4822" w:rsidP="004D7940">
            <w:pPr>
              <w:pStyle w:val="Konzulensek"/>
            </w:pPr>
            <w:r w:rsidRPr="00DB4822">
              <w:t>Dr. Dániel Winkler</w:t>
            </w:r>
          </w:p>
          <w:p w:rsidR="00DB4822" w:rsidRDefault="00DB4822" w:rsidP="00E11062">
            <w:pPr>
              <w:pStyle w:val="Konzulensek"/>
            </w:pPr>
            <w:r w:rsidRPr="00DB4822">
              <w:t>Associate professor, NYME EMK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Collembolan response on red sludge pollution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the research was to determine the effect of red sludge pollution on Collembola community diversity and abundance in Hungary. Study sites were selected in the area between Somlójenő and Tüskevár affected by the toxic flood of red sludge. Samples were taken from forest and meadow habitats. Nearby control sites of each habitat types were selected for the comparative analyses. A total of 60 soil core samples of 100 cm3 were taken during the summer period of 2011.</w:t>
      </w:r>
      <w:r>
        <w:rPr>
          <w:color w:val="000000"/>
          <w:sz w:val="24"/>
          <w:szCs w:val="24"/>
        </w:rPr>
        <w:br/>
        <w:t xml:space="preserve">A total of 4339 specimens belonging to 59 species were collected. Isotomidae was the most abundant springtail group (3051 individuals – 70,32%) followed by Entomobryidae (390 individuals – 8,99%). Species richness were the highest (32) in the control forest habitat, followed by the forest polluted by red sludge (31). Regarding the meadow habitats, species richness of the control sites was 28 while only 21 springtail species were encountered in the polluted samples. The most abundant Collembola community was found in the polluted forests reaching 90333 ind./m2 while average abundance in the control forest was only 31367 ind./m2. In comparison, abundance in both meadow habitats were much lower. Diversity (both Shannon's and Simpson's) were higher in the meadow habitats because of the more equitable community structure. Regarding the paired control-polluted habitats, diversity indices of communities found in the polluted area were lower (Hutcheson's t-test yielded significant differences). Collembola community structure comparison between the different habitats was estimated using single linkage cluster analysis based on the Bray-Curtis similarity index. The dendrogram well emphasises the difference between the two habitat types. Polluted forest sites separated from the control ones in the first main group (forests) while meadow sites didn't show clear separation with reference to the polluted/control areas.</w:t>
      </w:r>
      <w:r>
        <w:rPr>
          <w:color w:val="000000"/>
          <w:sz w:val="24"/>
          <w:szCs w:val="24"/>
        </w:rPr>
        <w:br/>
        <w:t xml:space="preserve">The results showed that certain species completely disappeared from the polluted area, others were found with lower abundance. On the other hand, several species appeared with higher abundance in the polluted area.</w:t>
      </w:r>
      <w:r>
        <w:rPr>
          <w:color w:val="000000"/>
          <w:sz w:val="24"/>
          <w:szCs w:val="24"/>
        </w:rPr>
        <w:br/>
        <w:t xml:space="preserve">As a final remark it has to be mentioned, that despite of the huge ecological catastrophe caused by the red sludge flood, soil fauna shows the signs of revitalisation and recolonisation.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957906">
    <w:multiLevelType w:val="hybridMultilevel"/>
    <w:lvl w:ilvl="0" w:tplc="399471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957906">
    <w:abstractNumId w:val="329579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33266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