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HARTMANN GERGELY</w:t>
            </w:r>
          </w:p>
          <w:p w:rsidR="00C275A3" w:rsidRDefault="00A96AEC" w:rsidP="00C275A3">
            <w:pPr>
              <w:pStyle w:val="Hallgatokepzes"/>
            </w:pPr>
            <w:r>
              <w:t>Építészmérnöki</w:t>
            </w:r>
            <w:r>
              <w:br/>
            </w:r>
            <w:r w:rsidR="00E77B23">
              <w:t>Osztatlan, 13. félév</w:t>
            </w:r>
          </w:p>
          <w:p w:rsidR="00C265CE" w:rsidRPr="009E5FF1" w:rsidRDefault="00E77B23" w:rsidP="00C275A3">
            <w:pPr>
              <w:pStyle w:val="Hallgatokepzes"/>
              <w:rPr>
                <w:b/>
                <w:caps/>
              </w:rPr>
            </w:pPr>
            <w:r>
              <w:t>Budapesti Műszaki és Gazdaságtudományi Egyetem</w:t>
            </w:r>
            <w:r w:rsidR="00C275A3">
              <w:br/>
            </w:r>
            <w:r w:rsidR="00DB4822">
              <w:t>Építészmérnöki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Kerékgyártó Béla</w:t>
            </w:r>
          </w:p>
          <w:p w:rsidR="00DB4822" w:rsidRDefault="00DB4822" w:rsidP="00E11062">
            <w:pPr>
              <w:pStyle w:val="Konzulensek"/>
            </w:pPr>
            <w:r w:rsidRPr="00DB4822">
              <w:t>egy. docens, BME, BME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Épített környezetünk online bemutatása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Az építész-szakma és a nyilvánosság megítélése sokszor meglehetősen távol esik egymástól, ha a közelmúltunk és jelenünk építészetéről van szó. A századelő modernjétől kezdve érzékelhető talán a nagyközönség számára egyértelműen az építészet „forradalma”, az új nyelv, amelyet az új formálási és anyaghasználati lehetőségek és a gazdasági kényszerek szülte racionálisabb szerkezetek hoztak. Így az építészet – a többi művészettel egyetemben – a díszítéssel elvesztette a primer befogadhatóságát, azonban – a többi művészettel ellentétében - az építészetről nem tudunk nem tudomást venni, hiszen pl. itthoni településeink nagy része is a XX. században épült fel, ezekben a házakban élünk, dolgozunk vásárolunk.</w:t>
      </w:r>
      <w:r>
        <w:rPr>
          <w:color w:val="000000"/>
          <w:sz w:val="24"/>
          <w:szCs w:val="24"/>
        </w:rPr>
        <w:br/>
        <w:t xml:space="preserve">Ahhoz, hogy közelmúltunk építészetét jobban meg tudjuk érteni és ismerni, beszélnünk kell ezekről az épületekről. A folyamat azért is fontos, mert talán így közelebb juthatunk kortárs építészetünk egyes kérdeseinek megválaszolásához is. Meg kell ismernünk az akkori alkotókat és az alkotás befolyásoló tényezőket is, hogy le tudjuk vonni a mában érvényes következtetéseket.</w:t>
      </w:r>
      <w:r>
        <w:rPr>
          <w:color w:val="000000"/>
          <w:sz w:val="24"/>
          <w:szCs w:val="24"/>
        </w:rPr>
        <w:br/>
        <w:t xml:space="preserve">A kommunkiációra és a megismerésre az utóbbi évtizedben azonban nyílt egy nagyon könnyen hozzáférhető és sokoldalú lehetőség: az internet. Dolgozatom első részében az építészeti kommunikáció hagyományos, alapvetően papír alapú típusaira térek ki röviden. Ezt követően az digitális és online feldolgozás új módszereit, a hagyományos bemutatás mellett megjelenő digitális tér adta virtuális lehetőségeket vázolom.</w:t>
      </w:r>
      <w:r>
        <w:rPr>
          <w:color w:val="000000"/>
          <w:sz w:val="24"/>
          <w:szCs w:val="24"/>
        </w:rPr>
        <w:br/>
        <w:t xml:space="preserve">TDK kutatásaim során a bemutatás témájául egy konkrét példát választottam, Győr 1920-1990 közötti építészettörténetét dolgoztam fel. Felkutattam írott forrásokat (könyveket, korabeli publikációs anyagokat, levelezéseket stb.), képeket, terveket (Győri Műszaki Levéltár), még élő alkotókat stb. Az információkat feldolgoztam, lehetőség szerint digitalizáltam (eddig kb. 1200 oldalt) és folyamatosan publikálom a honlapon, amelyen Győr modern építészetét mutatom be (http://modergyor.wordpress.com).</w:t>
      </w:r>
      <w:r>
        <w:rPr>
          <w:color w:val="000000"/>
          <w:sz w:val="24"/>
          <w:szCs w:val="24"/>
        </w:rPr>
        <w:br/>
        <w:t xml:space="preserve">A dolgozat második részében a honlap alapjául szolgáló építészettörténeti kutatás folyamatát és a források feldolgozásának módját ismertetem. Ebben a részben egy választott példán a honlap működését, azaz a feldolgozott források "élesben" való felhasználásának módját is bemutatom.</w:t>
      </w:r>
      <w:r>
        <w:rPr>
          <w:color w:val="000000"/>
          <w:sz w:val="24"/>
          <w:szCs w:val="24"/>
        </w:rPr>
        <w:br/>
        <w:t xml:space="preserve">A dolgozat harmadik részében - mintegy az építészettörténeti kutatás összefoglalásaként - Győr 1920-1990 közötti (város)építészet-történetéből emelem ki a legizgalmasabb folyamatokat, alkotókat és épületeket.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700559">
    <w:multiLevelType w:val="hybridMultilevel"/>
    <w:lvl w:ilvl="0" w:tplc="6301702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700559">
    <w:abstractNumId w:val="7970055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9188240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