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HARTMANN</w:t>
            </w:r>
          </w:p>
          <w:p w:rsidR="00C275A3" w:rsidRDefault="00A96AEC" w:rsidP="00C275A3">
            <w:pPr>
              <w:pStyle w:val="Hallgatokepzes"/>
            </w:pPr>
            <w:r>
              <w:t>Architecture</w:t>
            </w:r>
            <w:r>
              <w:br/>
            </w:r>
            <w:r w:rsidR="00E77B23">
              <w:t>Unified, 13.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Béla Kerékgyártó, dr.</w:t>
            </w:r>
          </w:p>
          <w:p w:rsidR="00DB4822" w:rsidRDefault="00DB4822" w:rsidP="00E11062">
            <w:pPr>
              <w:pStyle w:val="Konzulensek"/>
            </w:pPr>
            <w:r w:rsidRPr="00DB4822">
              <w:t>associate professor ,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Online presentation of our modern architecture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judgment of architect professionals and the public often fall quite far from each other especially when it comes to the architecture of our recent past and present. It is from the turn of the 20th century that the “revolution” of architecture might be unequivocally perceptible for the public at large, the new language brought by the more rational structures the new shaping and material-using possibilities gave birth to. Thus architecture lost its prime digestibility, however we cannot ignore architecture, as for instance most of our towns at home were built in the 20th century. We live, work and shop in these houses.</w:t>
      </w:r>
      <w:r>
        <w:rPr>
          <w:color w:val="000000"/>
          <w:sz w:val="24"/>
          <w:szCs w:val="24"/>
        </w:rPr>
        <w:br/>
        <w:t xml:space="preserve">For us to be able to understand and get to know the architecture of our recent past better, we have to talk about these buildings. This process is also important because maybe this way we can get closer to answering some of the questions of our contemporary architecture. We have to become familiar with the creators of that time and the factors influencing the creation so that we can draw the conclusions that are valid today.</w:t>
      </w:r>
      <w:r>
        <w:rPr>
          <w:color w:val="000000"/>
          <w:sz w:val="24"/>
          <w:szCs w:val="24"/>
        </w:rPr>
        <w:br/>
        <w:t xml:space="preserve">For communication, however, a very easily accessible and versatile opportunity has become available in the past decade: the internet. In the first part of my paper I briefly touch upon the traditional, fundamentally paper-based types of architectural communication. Following this I outline the new methods of digital and online processing, the virtual possibilities brought by the digital space that appeared next to the traditional presentation.</w:t>
      </w:r>
      <w:r>
        <w:rPr>
          <w:color w:val="000000"/>
          <w:sz w:val="24"/>
          <w:szCs w:val="24"/>
        </w:rPr>
        <w:br/>
        <w:t xml:space="preserve">In the course of my TDK research I chose a concrete example as the topic of the presentation: I processed Győr’s architectural history between 1920 and 1990. I dug up written sources (books, contemporary publications, letters, etc.), pictures, blueprints, creators etc. I processed and when I could I digitalized the information and I’m constantly making them public on the website where I present Győr’s modern architecture (http://modergyor.wordpress.com).</w:t>
      </w:r>
      <w:r>
        <w:rPr>
          <w:color w:val="000000"/>
          <w:sz w:val="24"/>
          <w:szCs w:val="24"/>
        </w:rPr>
        <w:br/>
        <w:t xml:space="preserve">In the second part of the paper I review the process of the architectural history research and the method of processing the sources, which serve as the basis for the website. In this part – through a chosen example - I also present how the website works that is to say the method of using the processed sources in “action”.</w:t>
      </w:r>
      <w:r>
        <w:rPr>
          <w:color w:val="000000"/>
          <w:sz w:val="24"/>
          <w:szCs w:val="24"/>
        </w:rPr>
        <w:br/>
        <w:t xml:space="preserve">In the third part of the paper – as a summary of the architectural history research – I highlight the most exciting processes, creators and building from Győr’s architectural history between 1920 and 1990.</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090490">
    <w:multiLevelType w:val="hybridMultilevel"/>
    <w:lvl w:ilvl="0" w:tplc="251061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090490">
    <w:abstractNumId w:val="450904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1202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