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RAÁB NÓRA</w:t>
            </w:r>
          </w:p>
          <w:p w:rsidR="00C275A3" w:rsidRDefault="00A96AEC" w:rsidP="00C275A3">
            <w:pPr>
              <w:pStyle w:val="Hallgatokepzes"/>
            </w:pPr>
            <w:r>
              <w:t>esztétika</w:t>
            </w:r>
            <w:r>
              <w:br/>
            </w:r>
            <w:r w:rsidR="00E77B23">
              <w:t>Osztatlan, 11.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Hörcher Ferenc</w:t>
            </w:r>
          </w:p>
          <w:p w:rsidR="00DB4822" w:rsidRDefault="00DB4822" w:rsidP="00E11062">
            <w:pPr>
              <w:pStyle w:val="Konzulensek"/>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ház fenomenológiája. Az otthon fogamának profán és szakrális jelentése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ház fenomenológiája</w:t>
      </w:r>
    </w:p>
    <w:p>
      <w:pPr>
        <w:pBdr/>
        <w:spacing w:before="240" w:after="240" w:line="240" w:lineRule="auto"/>
        <w:ind w:left="450" w:right="0"/>
        <w:jc w:val="left"/>
      </w:pPr>
      <w:r>
        <w:rPr>
          <w:color w:val="000000"/>
          <w:sz w:val="24"/>
          <w:szCs w:val="24"/>
        </w:rPr>
        <w:t xml:space="preserve">Az otthon fogalmának profán és szakrális jelentése</w:t>
      </w:r>
    </w:p>
    <w:p>
      <w:pPr>
        <w:pBdr/>
        <w:spacing w:before="240" w:after="240" w:line="240" w:lineRule="auto"/>
        <w:ind w:left="4050" w:right="0"/>
        <w:jc w:val="left"/>
      </w:pPr>
      <w:r>
        <w:rPr>
          <w:color w:val="000000"/>
          <w:sz w:val="24"/>
          <w:szCs w:val="24"/>
        </w:rPr>
        <w:t xml:space="preserve"> Az otthon fenomenológiája </w:t>
      </w:r>
    </w:p>
    <w:p>
      <w:pPr>
        <w:pBdr/>
        <w:spacing w:before="240" w:after="240" w:line="240" w:lineRule="auto"/>
        <w:ind w:left="0" w:right="0"/>
        <w:jc w:val="left"/>
      </w:pPr>
      <w:r>
        <w:rPr>
          <w:color w:val="000000"/>
          <w:sz w:val="24"/>
          <w:szCs w:val="24"/>
        </w:rPr>
        <w:t xml:space="preserve">Az ember a világ hozzá legközelebb álló szegmenseit, otthonát és városát tudja legtökéletesebben megismerni fenomenológiai értelemben. A „lakozás” meghitt helyeinek megtapasztalása végtelen sok vizsgálati szempontot és lehetőséget rejt magában. A tér és az ember kapcsolatának vizsgálata során kiderül, hogy léteznek az ember számára „hozzáférhető világok”, amelyek az ember identitásának kialakulásában játszanak szerepet, továbbá egyértelművé válik, hogy az ember terekhez való viszonyulásának alapja a gyermekkori játékok tereiből táplálkozik, hiszen az első otthon, mint első gyerekkori tér tanítja meg az embert arra, hogy mi is a „tér” valójában.</w:t>
      </w:r>
      <w:r>
        <w:rPr>
          <w:color w:val="000000"/>
          <w:sz w:val="24"/>
          <w:szCs w:val="24"/>
        </w:rPr>
        <w:br/>
        <w:t xml:space="preserve">Walter Benjamin és Edward T. Hall nyomán belátható, hogy az otthon, mint élettér „megismerése” és „belakása” az idő másodlagossága mellett az adott helyen lejátszódott, az emberhez közel állókhoz kapcsolódó történések sorozatán is múlik. Továbbá körvonalazódik, hogy az épített és az emberi társadalom individuumai életük első két szakaszát (anya-gyerek) egymással ellentétesen élik meg, viszont képesek együtt megöregedni. Kirajzolódik, hogy az ember az, aki határt szabhat annak, hogy otthonának meghitt belső terét milyen mértékben határolja el a világ külső terétől.</w:t>
      </w:r>
      <w:r>
        <w:rPr>
          <w:color w:val="000000"/>
          <w:sz w:val="24"/>
          <w:szCs w:val="24"/>
        </w:rPr>
        <w:br/>
        <w:t xml:space="preserve">Fény derül arra is, hogy az otthonnak nem kell szükségszerűen léteznie vagy fizikailag állnia, romjai is kötődést tudnak kialakítani az azt szemlélő emberben. Az otthon és a „lakozás” iránti vágy abban a pillanatban megszületik az emberben, amikor "második anyaméhébe" hazakerül. Ez a második anyaméh rejti magában a Debuyst-féle „személyes intimitás” és „találkozás” helyeit, amelyek olyan meghatározó funkciót töltenek be egy ember élete során. Bebizonyosodik, hogy megismerhetőségi szempontból a városra is tekinthet olyan strukturális egységként az ember, mint saját otthonára, és hogy az ember szülővárosa bevési szerkezetét az ott élő tudatába oly módon, hogy bármilyen idegen városba vetődik élete során, képes legyen a tájékozódásra.</w:t>
      </w:r>
      <w:r>
        <w:rPr>
          <w:color w:val="000000"/>
          <w:sz w:val="24"/>
          <w:szCs w:val="24"/>
        </w:rPr>
        <w:br/>
        <w:t xml:space="preserve">Végül a romok tanúságot tesznek arról, hogy ugyanolyan tanúi a városnak, mint az emberi házak az ember életének, és bár az őket szemlélők véleménye megoszlik létjogosultságukról, mégis ők azok, akik ébren tartják az ember emlékezetét és lelkiismeretét arra vonatkozóan, hogy bár az építési ösztönét megvalósítja, „teremtményeit” életben is kellene tartania.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36798">
    <w:multiLevelType w:val="hybridMultilevel"/>
    <w:lvl w:ilvl="0" w:tplc="48474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36798">
    <w:abstractNumId w:val="48936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687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