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RAÁB</w:t>
            </w:r>
          </w:p>
          <w:p w:rsidR="00C275A3" w:rsidRDefault="00A96AEC" w:rsidP="00C275A3">
            <w:pPr>
              <w:pStyle w:val="Hallgatokepzes"/>
            </w:pPr>
            <w:r>
              <w:t>Aesthetics</w:t>
            </w:r>
            <w:r>
              <w:br/>
            </w:r>
            <w:r w:rsidR="00E77B23">
              <w:t>Unified, 11.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Hörcher</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Phenomenology of the House. The profane and sacral meaning of "home"</w:t>
      </w:r>
      <w:r>
        <w:t xml:space="preserve"/>
      </w:r>
    </w:p>
    <w:p w:rsidR="00D71DF5" w:rsidRDefault="00D71DF5" w:rsidP="00AD2602">
      <w:pPr>
        <w:jc w:val="both"/>
      </w:pPr>
    </w:p>
    <w:p>
      <w:pPr>
        <w:pBdr/>
        <w:spacing w:before="240" w:after="240" w:line="240" w:lineRule="auto"/>
        <w:ind w:left="0" w:right="0"/>
        <w:jc w:val="left"/>
      </w:pPr>
      <w:r>
        <w:rPr>
          <w:color w:val="000000"/>
          <w:sz w:val="24"/>
          <w:szCs w:val="24"/>
        </w:rPr>
        <w:br/>
        <w:t xml:space="preserve">In a phenomenological sense humans are able to recognise those segments of the world that are the closest to him such as his home and town. The experience of the spaces of such intimate ”dwelling” possesses an infinite number of ways to research it. While studying the relationship between man and space it turns out there are ”accessible worlds” which have a role in the evolution of identity, moreover, it becomes clear that the foundation on which this relationship lies depends upon the gaming spaces of our childhood, since the first home teaches us what ”space” really is.</w:t>
      </w:r>
      <w:r>
        <w:rPr>
          <w:color w:val="000000"/>
          <w:sz w:val="24"/>
          <w:szCs w:val="24"/>
        </w:rPr>
        <w:br/>
        <w:t xml:space="preserve">Following in the footsteps of Walter Benjamin and Eward T. Hall it might be presumed that the ”cognition” and ”dwelling” of homes and living spaces depend not only on the secondary aspect of time but also on the events of that given place, which mean something to us. Futhermore it poses that the individuals of the built and humane society live the first two phases (mother-child) of their lives in an opposite way, though they are able to grow old together. It becomes clear that it is the human being who can control to what extent he separates the intimate inner space of his home from the space of the outside world.</w:t>
      </w:r>
      <w:r>
        <w:rPr>
          <w:color w:val="000000"/>
          <w:sz w:val="24"/>
          <w:szCs w:val="24"/>
        </w:rPr>
        <w:br/>
        <w:t xml:space="preserve">We will see that a home does not need to exist physically since its ruins might create a relationship to its viewer. The longing for the home and ”dwelling” is born in that moment when we end up in our second wombs. This second womb contains the concept of ”personal intimacy” and ”meeting” of Debusyt, which have a highly important role in our lives. It becomes proven that cognitionwise it is possible to see a town as a personal structural item and our birthplaces carve their silhouettes in our minds so that when we visit other places we are able to orientate.</w:t>
      </w:r>
      <w:r>
        <w:rPr>
          <w:color w:val="000000"/>
          <w:sz w:val="24"/>
          <w:szCs w:val="24"/>
        </w:rPr>
        <w:br/>
        <w:t xml:space="preserve">Finally the ruins prove that they are the same witnesses of the town as the buildings of the human lives. Though there are different alternative viewpoints regarding their existence, it is them, the ruins which keep our conscience and memories alive that it is not enough to build and create but we have to keep everything alive.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77461">
    <w:multiLevelType w:val="hybridMultilevel"/>
    <w:lvl w:ilvl="0" w:tplc="249231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77461">
    <w:abstractNumId w:val="52077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1187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