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PARDY</w:t>
            </w:r>
          </w:p>
          <w:p w:rsidR="00C275A3" w:rsidRDefault="00A96AEC" w:rsidP="00C275A3">
            <w:pPr>
              <w:pStyle w:val="Hallgatokepzes"/>
            </w:pPr>
            <w:r>
              <w:t>Molekuláris bionika BSc</w:t>
            </w:r>
            <w:r>
              <w:br/>
            </w:r>
            <w:r w:rsidR="00E77B23">
              <w:t>BSc, 7. semester</w:t>
            </w:r>
          </w:p>
          <w:p w:rsidR="00C265CE" w:rsidRPr="009E5FF1" w:rsidRDefault="00E77B23" w:rsidP="00C275A3">
            <w:pPr>
              <w:pStyle w:val="Hallgatokepzes"/>
              <w:rPr>
                <w:b/>
                <w:caps/>
              </w:rPr>
            </w:pPr>
            <w:r>
              <w:t>Pázmány Péter Catholic University</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Kristof Ivan, PhD</w:t>
            </w:r>
          </w:p>
          <w:p w:rsidR="00DB4822" w:rsidRDefault="00DB4822" w:rsidP="00E11062">
            <w:pPr>
              <w:pStyle w:val="Konzulensek"/>
            </w:pPr>
            <w:r w:rsidRPr="00DB4822">
              <w:t>Associate professor, PPKE ITK</w:t>
            </w:r>
          </w:p>
        </w:tc>
      </w:tr>
      <w:tr w:rsidR="00DB4822" w:rsidTr="00DB4822">
        <w:tc>
          <w:tcPr>
            <w:tcW w:w="9854" w:type="dxa"/>
          </w:tcPr>
          <w:p w:rsidR="00DB4822" w:rsidRPr="00DB4822" w:rsidRDefault="00DB4822" w:rsidP="004D7940">
            <w:pPr>
              <w:pStyle w:val="Konzulensek"/>
            </w:pPr>
            <w:r w:rsidRPr="00DB4822">
              <w:t>Peter Furjes, PhD</w:t>
            </w:r>
          </w:p>
          <w:p w:rsidR="00DB4822" w:rsidRDefault="00DB4822" w:rsidP="00E11062">
            <w:pPr>
              <w:pStyle w:val="Konzulensek"/>
            </w:pPr>
            <w:r w:rsidRPr="00DB4822">
              <w:t>MFA Deputy Head of Department,  Hungarian Academy of Sciences, Research Centre for Natural Sciences, Institute for Technical Physics and Materials Science</w:t>
            </w:r>
          </w:p>
        </w:tc>
      </w:tr>
      <w:tr w:rsidR="00DB4822" w:rsidTr="00DB4822">
        <w:tc>
          <w:tcPr>
            <w:tcW w:w="9854" w:type="dxa"/>
          </w:tcPr>
          <w:p w:rsidR="00DB4822" w:rsidRPr="00DB4822" w:rsidRDefault="00DB4822" w:rsidP="004D7940">
            <w:pPr>
              <w:pStyle w:val="Konzulensek"/>
            </w:pPr>
            <w:r w:rsidRPr="00DB4822">
              <w:t>Zoltan Fekete</w:t>
            </w:r>
          </w:p>
          <w:p w:rsidR="00DB4822" w:rsidRDefault="00DB4822" w:rsidP="00E11062">
            <w:pPr>
              <w:pStyle w:val="Konzulensek"/>
            </w:pPr>
            <w:r w:rsidRPr="00DB4822">
              <w:t>PhD Student,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Controlling wetting properties of silicon-based digital microfluidics systems</w:t>
      </w:r>
    </w:p>
    <w:p w:rsidR="00D71DF5" w:rsidRDefault="00D71DF5" w:rsidP="00AD2602">
      <w:pPr>
        <w:jc w:val="both"/>
      </w:pPr>
    </w:p>
    <w:p>
      <w:pPr>
        <w:pBdr/>
        <w:spacing w:before="240" w:after="240" w:line="240" w:lineRule="auto"/>
        <w:ind w:left="0" w:right="0"/>
        <w:jc w:val="left"/>
      </w:pPr>
      <w:r>
        <w:rPr>
          <w:color w:val="000000"/>
          <w:sz w:val="24"/>
          <w:szCs w:val="24"/>
        </w:rPr>
        <w:t xml:space="preserve">Microfluidics is a field of science on a course of quick growth since 2006 and the number of microfluidics-based LOC (Lab-on-a-Chip) systems found in the field of medical diagnostics is growing by the day. The most important advantages of these systems compared to the solutions of today are their small size, the low cost per device and rapid analysis of samples. Furthermore, only a small amount of biological sample (eg. blood) is required for analysis. Based on these facts, in close cooperation with the Research Institute for Technical Physics and Material Science of the Hungarian Academy of Sciences (MTA TTK MFA MEMS Lab.), development of a digital microfluidics-based LOC system capable of analysing biological samples began.</w:t>
      </w:r>
    </w:p>
    <w:p>
      <w:pPr>
        <w:pBdr/>
        <w:spacing w:before="240" w:after="240" w:line="240" w:lineRule="auto"/>
        <w:ind w:left="0" w:right="0"/>
        <w:jc w:val="left"/>
      </w:pPr>
      <w:r>
        <w:rPr>
          <w:color w:val="000000"/>
          <w:sz w:val="24"/>
          <w:szCs w:val="24"/>
        </w:rPr>
        <w:t xml:space="preserve">The phenomenon of Electrowetting on Dielectric (EWOD) was examined on silicon-based chip prototypes. Electric and wetting properties of the used structural materials (insulator, hydrophobic layer) were measured, then estimations were made on the voltage necessary to actuate water droplets. The first successful actuation experiments were performed on thin film microstructures manufactured beforehand. When using direct current, the electrical double layer charged, which decreased repeatability. Applying square wave provided more spectacular results. Furthermore it was seen that above an optimal voltage value (60 V) an increase in voltage does not entail a significant improvement of actuation. Using these results, silicon-based single-plate digital microfluidic test chips were designed, manufactured and wired to Printed Circuit Boards. The first actuation experiments revealed the fact that an alternating current is of better use, since the application of a direct current causes the electric double layer to charge electrically. Upon application of a square wave with an amplitude of 100 V, inter-electrode actuation was achieved.</w:t>
      </w:r>
    </w:p>
    <w:p>
      <w:pPr>
        <w:pBdr/>
        <w:spacing w:before="240" w:after="240" w:line="240" w:lineRule="auto"/>
        <w:ind w:left="0" w:right="0"/>
        <w:jc w:val="left"/>
      </w:pPr>
      <w:r>
        <w:rPr>
          <w:color w:val="000000"/>
          <w:sz w:val="24"/>
          <w:szCs w:val="24"/>
        </w:rPr>
        <w:t xml:space="preserve">Moreover, a thin film based superhydrophobic surface was implemented and measured with respect to wetting, which may, over a long term, be the means to extend the useful lifetime of bioanalytic chips. Such surfaces have an outstanding hydrophobic quality and may protect bioanalytic chips from the damaging effects of biological samples.</w:t>
      </w:r>
    </w:p>
    <w:p>
      <w:pPr>
        <w:pBdr/>
        <w:spacing w:before="240" w:after="240" w:line="240" w:lineRule="auto"/>
        <w:ind w:left="0" w:right="0"/>
        <w:jc w:val="left"/>
      </w:pPr>
      <w:r>
        <w:rPr>
          <w:color w:val="000000"/>
          <w:sz w:val="24"/>
          <w:szCs w:val="24"/>
        </w:rPr>
        <w:t xml:space="preserve">The short-term goal is the improvement of sample actuation and implementing new basic functions (mixing, separation). An additional goal is the development of a programmable current source for the digital microfluidic chips. Based on the results the long-term goal is implementing a chip to be integrated in a LOC system capable of automatically analysing and evaluating multiple biological samples.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58902">
    <w:multiLevelType w:val="hybridMultilevel"/>
    <w:lvl w:ilvl="0" w:tplc="373160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58902">
    <w:abstractNumId w:val="863589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0880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