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SALÁT</w:t>
            </w:r>
          </w:p>
          <w:p w:rsidR="00C275A3" w:rsidRDefault="00A96AEC" w:rsidP="00C275A3">
            <w:pPr>
              <w:pStyle w:val="Hallgatokepzes"/>
            </w:pPr>
            <w:r>
              <w:t>Master Program in Architectural Engineering (5 year integrated)</w:t>
            </w:r>
            <w:r>
              <w:br/>
            </w:r>
            <w:r w:rsidR="00E77B23">
              <w:t>Unified, 7. semester</w:t>
            </w:r>
          </w:p>
          <w:p w:rsidR="00C265CE" w:rsidRPr="009E5FF1" w:rsidRDefault="00E77B23" w:rsidP="00C275A3">
            <w:pPr>
              <w:pStyle w:val="Hallgatokepzes"/>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Sajtos</w:t>
            </w:r>
          </w:p>
          <w:p w:rsidR="00DB4822" w:rsidRDefault="00DB4822" w:rsidP="00E11062">
            <w:pPr>
              <w:pStyle w:val="Konzulensek"/>
            </w:pPr>
            <w:r w:rsidRPr="00DB4822">
              <w:t>associate professor,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Lateral Load Analysis of Masonry Panels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Masonry division walls and spandrels are investigated for lateral loads in this paper. A special group of these loads are the ones acting at 1,20 m height. This load has to be considered where congestion of people is expected for example in audio rooms, sport halls and theatres. Lately there have been numerous accidents in mass events caused by stampede crowd which justifies the deep investigations of the topic. In the paper I introduce the superficial regulations and directives of the standards. I examine the relation between the load bearing capacity of the walls and the boundary conditions and geometry (ratios and thickness) of the walls. The calculations are based on the adaptation of the yield-line theory of reinforced concrete structures. The numerical calculations are made with Wolfram Mathematica. The special attributes of the masonry which are not included in the model but can affect the load bearing capacity are also examined (such as the changing of the dead load along the height of the wall and relation between the element geometry and the angle of the fraction lines).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928758">
    <w:multiLevelType w:val="hybridMultilevel"/>
    <w:lvl w:ilvl="0" w:tplc="222168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928758">
    <w:abstractNumId w:val="659287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59655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